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8B" w:rsidRDefault="00DF6D3A">
      <w:pPr>
        <w:pStyle w:val="Tekstpodstawow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Załącznik nr 1 – opis przedmiotu zamówienia</w:t>
      </w:r>
    </w:p>
    <w:p w:rsidR="002B5A8B" w:rsidRDefault="00DF6D3A">
      <w:pPr>
        <w:pStyle w:val="Tekstpodstawowy"/>
        <w:jc w:val="center"/>
        <w:rPr>
          <w:rFonts w:hint="eastAsia"/>
        </w:rPr>
      </w:pPr>
      <w:r>
        <w:rPr>
          <w:rFonts w:ascii="Arial" w:hAnsi="Arial"/>
          <w:b/>
        </w:rPr>
        <w:t xml:space="preserve">Rozbudowa infrastruktury sprzętowo-programowej opartej na technologiach </w:t>
      </w:r>
      <w:proofErr w:type="spellStart"/>
      <w:r>
        <w:rPr>
          <w:rFonts w:ascii="Arial" w:hAnsi="Arial"/>
          <w:b/>
        </w:rPr>
        <w:t>wirtualizacyjnych</w:t>
      </w:r>
      <w:proofErr w:type="spellEnd"/>
    </w:p>
    <w:p w:rsidR="002B5A8B" w:rsidRDefault="002B5A8B">
      <w:pPr>
        <w:pStyle w:val="Tekstpodstawowy"/>
        <w:jc w:val="center"/>
        <w:rPr>
          <w:rFonts w:ascii="Arial" w:hAnsi="Arial"/>
          <w:b/>
        </w:rPr>
      </w:pPr>
    </w:p>
    <w:p w:rsidR="002B5A8B" w:rsidRDefault="00DF6D3A">
      <w:pPr>
        <w:pStyle w:val="Tekstpodstawowy"/>
        <w:rPr>
          <w:rFonts w:ascii="Arial" w:hAnsi="Arial"/>
        </w:rPr>
      </w:pPr>
      <w:r>
        <w:rPr>
          <w:rFonts w:ascii="Arial" w:hAnsi="Arial"/>
        </w:rPr>
        <w:t>Kody CPV:</w:t>
      </w:r>
    </w:p>
    <w:p w:rsidR="002B5A8B" w:rsidRDefault="00DF6D3A">
      <w:pPr>
        <w:pStyle w:val="Nagwek3"/>
        <w:numPr>
          <w:ilvl w:val="2"/>
          <w:numId w:val="3"/>
        </w:numPr>
        <w:rPr>
          <w:b w:val="0"/>
          <w:szCs w:val="24"/>
        </w:rPr>
      </w:pPr>
      <w:r>
        <w:rPr>
          <w:b w:val="0"/>
          <w:color w:val="000000"/>
          <w:szCs w:val="24"/>
        </w:rPr>
        <w:t>48822000-6 (Serwery komputerowe)</w:t>
      </w:r>
    </w:p>
    <w:p w:rsidR="002B5A8B" w:rsidRDefault="00DF6D3A">
      <w:pPr>
        <w:pStyle w:val="Default"/>
      </w:pPr>
      <w:r>
        <w:t xml:space="preserve">30233000-1 (Urządzenia do przechowywania i odczytu danych) </w:t>
      </w:r>
    </w:p>
    <w:p w:rsidR="002B5A8B" w:rsidRDefault="00DF6D3A">
      <w:pPr>
        <w:pStyle w:val="Nagwek3"/>
        <w:numPr>
          <w:ilvl w:val="2"/>
          <w:numId w:val="3"/>
        </w:numPr>
        <w:rPr>
          <w:b w:val="0"/>
        </w:rPr>
      </w:pPr>
      <w:r>
        <w:rPr>
          <w:b w:val="0"/>
        </w:rPr>
        <w:t>48710000-8 (Pakiety oprogramowania do kopii zapasowych i odzyskiwania)</w:t>
      </w:r>
    </w:p>
    <w:p w:rsidR="002B5A8B" w:rsidRDefault="00DF6D3A">
      <w:pPr>
        <w:pStyle w:val="Nagwek3"/>
        <w:numPr>
          <w:ilvl w:val="2"/>
          <w:numId w:val="3"/>
        </w:numPr>
        <w:rPr>
          <w:b w:val="0"/>
          <w:szCs w:val="24"/>
        </w:rPr>
      </w:pPr>
      <w:r>
        <w:rPr>
          <w:b w:val="0"/>
          <w:color w:val="000000"/>
          <w:szCs w:val="24"/>
        </w:rPr>
        <w:t>48620000-0 (Systemy operacyjne)</w:t>
      </w:r>
    </w:p>
    <w:p w:rsidR="002B5A8B" w:rsidRDefault="002B5A8B">
      <w:pPr>
        <w:rPr>
          <w:rFonts w:hint="eastAsia"/>
        </w:rPr>
      </w:pPr>
    </w:p>
    <w:p w:rsidR="002B5A8B" w:rsidRDefault="002B5A8B">
      <w:pPr>
        <w:pStyle w:val="Default"/>
      </w:pPr>
    </w:p>
    <w:p w:rsidR="002B5A8B" w:rsidRDefault="002B5A8B">
      <w:pPr>
        <w:rPr>
          <w:rFonts w:ascii="Arial" w:hAnsi="Arial"/>
          <w:color w:val="000000"/>
        </w:rPr>
      </w:pPr>
    </w:p>
    <w:p w:rsidR="002B5A8B" w:rsidRDefault="00DF6D3A">
      <w:pPr>
        <w:rPr>
          <w:rFonts w:ascii="Arial" w:hAnsi="Arial"/>
          <w:b/>
        </w:rPr>
      </w:pPr>
      <w:r>
        <w:br w:type="page"/>
      </w:r>
    </w:p>
    <w:p w:rsidR="002B5A8B" w:rsidRDefault="00DF6D3A">
      <w:pPr>
        <w:pStyle w:val="Tekstpodstawowy"/>
        <w:jc w:val="center"/>
        <w:rPr>
          <w:rFonts w:hint="eastAsia"/>
        </w:rPr>
      </w:pPr>
      <w:r>
        <w:rPr>
          <w:rFonts w:ascii="Arial" w:hAnsi="Arial"/>
          <w:b/>
        </w:rPr>
        <w:lastRenderedPageBreak/>
        <w:t>Szczegółowy opis przedmiotu zamówienia</w:t>
      </w:r>
    </w:p>
    <w:p w:rsidR="002B5A8B" w:rsidRDefault="00DF6D3A">
      <w:pPr>
        <w:spacing w:before="120"/>
        <w:jc w:val="both"/>
        <w:rPr>
          <w:rFonts w:hint="eastAsia"/>
        </w:rPr>
      </w:pPr>
      <w:r>
        <w:rPr>
          <w:rFonts w:ascii="Arial" w:hAnsi="Arial"/>
          <w:bCs/>
        </w:rPr>
        <w:t>Zaoferowane rozwiązanie musi zawierać urządzenia fabrycznie nowe, nieużywane i nieregenerowane, o roku produkcji 2018 lub 2019, z  oznakowaniem CE i deklaracją zgodności wystawioną przez producenta urządzeń zgodnie z aktualnie obowiązującymi przepisami oraz nie może  mieć gorszych parametrów technicznych, aniżeli te opisane w poniższych tabelach.</w:t>
      </w:r>
    </w:p>
    <w:p w:rsidR="002B5A8B" w:rsidRDefault="002B5A8B">
      <w:pPr>
        <w:spacing w:before="120"/>
        <w:ind w:left="360"/>
        <w:jc w:val="both"/>
        <w:rPr>
          <w:rFonts w:hint="eastAsia"/>
          <w:bCs/>
        </w:rPr>
      </w:pPr>
    </w:p>
    <w:p w:rsidR="002B5A8B" w:rsidRDefault="00DF6D3A">
      <w:pPr>
        <w:spacing w:before="1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Opis posiadanej infrastruktury sprzętowo -programowej:</w:t>
      </w:r>
    </w:p>
    <w:p w:rsidR="002B5A8B" w:rsidRDefault="00DF6D3A">
      <w:pPr>
        <w:spacing w:before="1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1. Serwer HP DL360P G8</w:t>
      </w:r>
    </w:p>
    <w:p w:rsidR="002B5A8B" w:rsidRDefault="00DF6D3A">
      <w:pPr>
        <w:spacing w:before="1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2. Macierz dyskowa HP P2000 G3</w:t>
      </w:r>
    </w:p>
    <w:p w:rsidR="002B5A8B" w:rsidRDefault="00DF6D3A">
      <w:pPr>
        <w:spacing w:before="1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2. 2 przełączniki </w:t>
      </w:r>
      <w:proofErr w:type="spellStart"/>
      <w:r>
        <w:rPr>
          <w:rFonts w:ascii="Arial" w:hAnsi="Arial"/>
          <w:bCs/>
        </w:rPr>
        <w:t>Brocade</w:t>
      </w:r>
      <w:proofErr w:type="spellEnd"/>
      <w:r>
        <w:rPr>
          <w:rFonts w:ascii="Arial" w:hAnsi="Arial"/>
          <w:bCs/>
        </w:rPr>
        <w:t xml:space="preserve"> 300 FC 8 </w:t>
      </w:r>
      <w:proofErr w:type="spellStart"/>
      <w:r>
        <w:rPr>
          <w:rFonts w:ascii="Arial" w:hAnsi="Arial"/>
          <w:bCs/>
        </w:rPr>
        <w:t>Gbit</w:t>
      </w:r>
      <w:proofErr w:type="spellEnd"/>
    </w:p>
    <w:p w:rsidR="002B5A8B" w:rsidRDefault="00DF6D3A">
      <w:pPr>
        <w:spacing w:before="1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3. 2 przełączniki sieciowe 10/100/1000 </w:t>
      </w:r>
      <w:proofErr w:type="spellStart"/>
      <w:r>
        <w:rPr>
          <w:rFonts w:ascii="Arial" w:hAnsi="Arial"/>
          <w:bCs/>
        </w:rPr>
        <w:t>Mbit</w:t>
      </w:r>
      <w:proofErr w:type="spellEnd"/>
    </w:p>
    <w:p w:rsidR="002B5A8B" w:rsidRDefault="00DF6D3A">
      <w:pPr>
        <w:spacing w:before="120"/>
        <w:jc w:val="both"/>
        <w:rPr>
          <w:rFonts w:ascii="Arial" w:hAnsi="Arial"/>
          <w:bCs/>
          <w:lang w:val="en-GB"/>
        </w:rPr>
      </w:pPr>
      <w:r>
        <w:rPr>
          <w:rFonts w:ascii="Arial" w:hAnsi="Arial"/>
          <w:bCs/>
          <w:lang w:val="en-GB"/>
        </w:rPr>
        <w:t xml:space="preserve">4. </w:t>
      </w:r>
      <w:proofErr w:type="spellStart"/>
      <w:r>
        <w:rPr>
          <w:rFonts w:ascii="Arial" w:hAnsi="Arial"/>
          <w:bCs/>
          <w:lang w:val="en-GB"/>
        </w:rPr>
        <w:t>Oprogramowanie</w:t>
      </w:r>
      <w:proofErr w:type="spellEnd"/>
      <w:r>
        <w:rPr>
          <w:rFonts w:ascii="Arial" w:hAnsi="Arial"/>
          <w:bCs/>
          <w:lang w:val="en-GB"/>
        </w:rPr>
        <w:t xml:space="preserve"> </w:t>
      </w:r>
      <w:proofErr w:type="spellStart"/>
      <w:r>
        <w:rPr>
          <w:rFonts w:ascii="Arial" w:hAnsi="Arial"/>
          <w:bCs/>
          <w:lang w:val="en-GB"/>
        </w:rPr>
        <w:t>wirtualizacyjne</w:t>
      </w:r>
      <w:proofErr w:type="spellEnd"/>
      <w:r>
        <w:rPr>
          <w:rFonts w:ascii="Arial" w:hAnsi="Arial"/>
          <w:bCs/>
          <w:lang w:val="en-GB"/>
        </w:rPr>
        <w:t xml:space="preserve"> </w:t>
      </w:r>
      <w:proofErr w:type="spellStart"/>
      <w:r>
        <w:rPr>
          <w:rFonts w:ascii="Arial" w:hAnsi="Arial"/>
          <w:bCs/>
          <w:lang w:val="en-GB"/>
        </w:rPr>
        <w:t>Vmware</w:t>
      </w:r>
      <w:proofErr w:type="spellEnd"/>
      <w:r>
        <w:rPr>
          <w:rFonts w:ascii="Arial" w:hAnsi="Arial"/>
          <w:bCs/>
          <w:lang w:val="en-GB"/>
        </w:rPr>
        <w:t xml:space="preserve"> vSphere 6 Essential Plus Kit for 3 hosts</w:t>
      </w:r>
    </w:p>
    <w:p w:rsidR="002B5A8B" w:rsidRDefault="002B5A8B">
      <w:pPr>
        <w:spacing w:before="120"/>
        <w:jc w:val="both"/>
        <w:rPr>
          <w:rFonts w:ascii="Arial" w:hAnsi="Arial"/>
          <w:lang w:val="en-GB"/>
        </w:rPr>
      </w:pPr>
    </w:p>
    <w:p w:rsidR="002B5A8B" w:rsidRDefault="002B5A8B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DB3F42" w:rsidRDefault="00DB3F42">
      <w:pPr>
        <w:spacing w:before="120"/>
        <w:ind w:left="360"/>
        <w:jc w:val="both"/>
        <w:rPr>
          <w:rFonts w:hint="eastAsia"/>
          <w:bCs/>
          <w:lang w:val="en-GB"/>
        </w:rPr>
      </w:pPr>
    </w:p>
    <w:p w:rsidR="002B5A8B" w:rsidRPr="00DB3F42" w:rsidRDefault="00DB3F42" w:rsidP="00DB3F42">
      <w:pPr>
        <w:pStyle w:val="Nagwek3"/>
        <w:numPr>
          <w:ilvl w:val="2"/>
          <w:numId w:val="4"/>
        </w:numPr>
      </w:pPr>
      <w:r>
        <w:lastRenderedPageBreak/>
        <w:t>CZĘŚĆ NR 1</w:t>
      </w:r>
      <w:r w:rsidR="00DF6D3A" w:rsidRPr="00DB3F42">
        <w:rPr>
          <w:bCs/>
        </w:rPr>
        <w:t>: serwer – 2 szt. Zamawiający wymaga, aby każdy z dostarczonych egzemplarzy urządzenia był tego samego modelu i w tej samej konfiguracji.</w:t>
      </w:r>
    </w:p>
    <w:p w:rsidR="002B5A8B" w:rsidRDefault="002B5A8B">
      <w:pPr>
        <w:rPr>
          <w:rFonts w:ascii="Arial" w:hAnsi="Arial"/>
        </w:rPr>
      </w:pPr>
    </w:p>
    <w:p w:rsidR="002B5A8B" w:rsidRDefault="002B5A8B">
      <w:pPr>
        <w:rPr>
          <w:rFonts w:ascii="Arial" w:hAnsi="Arial"/>
        </w:rPr>
      </w:pPr>
    </w:p>
    <w:tbl>
      <w:tblPr>
        <w:tblW w:w="10428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1" w:type="dxa"/>
          <w:right w:w="105" w:type="dxa"/>
        </w:tblCellMar>
        <w:tblLook w:val="04A0" w:firstRow="1" w:lastRow="0" w:firstColumn="1" w:lastColumn="0" w:noHBand="0" w:noVBand="1"/>
      </w:tblPr>
      <w:tblGrid>
        <w:gridCol w:w="1753"/>
        <w:gridCol w:w="5291"/>
        <w:gridCol w:w="3384"/>
      </w:tblGrid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>Komponent</w:t>
            </w:r>
          </w:p>
        </w:tc>
        <w:tc>
          <w:tcPr>
            <w:tcW w:w="5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>Minimalne wymagania</w:t>
            </w:r>
          </w:p>
        </w:tc>
        <w:tc>
          <w:tcPr>
            <w:tcW w:w="3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Parametry oferowanego urządzenia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5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Serwer.</w:t>
            </w:r>
          </w:p>
        </w:tc>
        <w:tc>
          <w:tcPr>
            <w:tcW w:w="3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widowControl w:val="0"/>
              <w:spacing w:after="200"/>
              <w:jc w:val="center"/>
              <w:rPr>
                <w:rFonts w:cs="Calibri" w:hint="eastAsia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cs="Calibri" w:hint="eastAsia"/>
              </w:rPr>
            </w:pPr>
          </w:p>
          <w:p w:rsidR="002B5A8B" w:rsidRDefault="00DF6D3A">
            <w:pPr>
              <w:widowControl w:val="0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  <w:r>
              <w:rPr>
                <w:rFonts w:ascii="Arial" w:hAnsi="Arial" w:cs="Calibri"/>
                <w:i/>
                <w:iCs/>
                <w:sz w:val="20"/>
                <w:szCs w:val="20"/>
              </w:rPr>
              <w:t>model, symbol, producent urządzenia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8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Obudowa typu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Rack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 wysokości maksymalnie 2U. Dostarczona wraz z kompletem szyn umożliwiających montaż w szafie RACK i wysuwanie serwera do celów serwisowych oraz organizatorem kabli.</w:t>
            </w:r>
          </w:p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Możliwość instalacji minimum 8 dysków Hot Plug </w:t>
            </w:r>
          </w:p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Możliwość opcjonalnej instalacji napędu optycznego DVD </w:t>
            </w: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8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suppressAutoHyphens/>
              <w:rPr>
                <w:rFonts w:cs="Calibri" w:hint="eastAsia"/>
                <w:lang w:eastAsia="ar-SA"/>
              </w:rPr>
            </w:pPr>
          </w:p>
          <w:p w:rsidR="002B5A8B" w:rsidRDefault="00DF6D3A">
            <w:pPr>
              <w:suppressAutoHyphen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 xml:space="preserve">Płyta główna z możliwością zainstalowania do dwóch fizycznych procesorów, posiadająca minimum 24 aktywne </w:t>
            </w:r>
            <w:proofErr w:type="spellStart"/>
            <w:r>
              <w:rPr>
                <w:rFonts w:ascii="Arial" w:hAnsi="Arial" w:cs="Calibri"/>
                <w:sz w:val="20"/>
                <w:szCs w:val="20"/>
                <w:lang w:eastAsia="ar-SA"/>
              </w:rPr>
              <w:t>sloty</w:t>
            </w:r>
            <w:proofErr w:type="spellEnd"/>
            <w:r>
              <w:rPr>
                <w:rFonts w:ascii="Arial" w:hAnsi="Arial" w:cs="Calibri"/>
                <w:sz w:val="20"/>
                <w:szCs w:val="20"/>
                <w:lang w:eastAsia="ar-SA"/>
              </w:rPr>
              <w:t xml:space="preserve"> na pamięci.</w:t>
            </w:r>
          </w:p>
          <w:p w:rsidR="002B5A8B" w:rsidRDefault="00DF6D3A">
            <w:pPr>
              <w:suppressAutoHyphens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Płyta główna musi być zaprojektowana przez producenta serwera i oznaczona jego znakiem firmowym.</w:t>
            </w:r>
          </w:p>
          <w:p w:rsidR="002B5A8B" w:rsidRDefault="002B5A8B">
            <w:pPr>
              <w:suppressAutoHyphens/>
              <w:rPr>
                <w:rFonts w:cs="Calibri" w:hint="eastAsia"/>
                <w:lang w:eastAsia="ar-SA"/>
              </w:rPr>
            </w:pPr>
          </w:p>
        </w:tc>
      </w:tr>
      <w:tr w:rsidR="002B5A8B">
        <w:trPr>
          <w:trHeight w:val="2564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5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Zainstalowane dwa procesory 10-rdzeniowe w architekturze x86 dedykowane do pracy z zaoferowanym serwerem umożliwiające osiągnięcie wyniku minimum 101 punktów w teście SPECrate2017_int_base</w:t>
            </w:r>
            <w:r>
              <w:rPr>
                <w:rFonts w:ascii="Arial" w:hAnsi="Arial" w:cs="Calibri"/>
                <w:b/>
                <w:color w:val="0070C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  <w:lang w:eastAsia="ar-SA"/>
              </w:rPr>
              <w:t>dostępnym na stronie internetowej www.spec.org dla konfiguracji dwuprocesorowej.</w:t>
            </w:r>
          </w:p>
          <w:p w:rsidR="002B5A8B" w:rsidRDefault="00DF6D3A">
            <w:pPr>
              <w:suppressAutoHyphens/>
              <w:spacing w:before="120"/>
              <w:rPr>
                <w:rFonts w:ascii="Arial" w:hAnsi="Arial"/>
                <w:sz w:val="20"/>
                <w:szCs w:val="20"/>
              </w:rPr>
            </w:pPr>
            <w:r w:rsidRPr="00F71BB6">
              <w:rPr>
                <w:rFonts w:ascii="Arial" w:hAnsi="Arial"/>
                <w:color w:val="FF0000"/>
                <w:sz w:val="20"/>
                <w:szCs w:val="20"/>
              </w:rPr>
              <w:t>Do oferty należy załączyć wynik testu dla oferowanego modelu serwera wraz z oferowanym model</w:t>
            </w:r>
            <w:bookmarkStart w:id="0" w:name="_GoBack"/>
            <w:bookmarkEnd w:id="0"/>
            <w:r w:rsidRPr="00F71BB6">
              <w:rPr>
                <w:rFonts w:ascii="Arial" w:hAnsi="Arial"/>
                <w:color w:val="FF0000"/>
                <w:sz w:val="20"/>
                <w:szCs w:val="20"/>
              </w:rPr>
              <w:t>em procesora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DF6D3A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……………………………………</w:t>
            </w:r>
          </w:p>
          <w:p w:rsidR="002B5A8B" w:rsidRDefault="00DF6D3A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model, symbol, producenta procesora</w:t>
            </w:r>
          </w:p>
          <w:p w:rsidR="002B5A8B" w:rsidRDefault="002B5A8B">
            <w:pPr>
              <w:suppressAutoHyphens/>
              <w:jc w:val="center"/>
              <w:rPr>
                <w:rFonts w:ascii="Arial" w:hAnsi="Arial" w:cs="Calibri"/>
                <w:sz w:val="20"/>
                <w:szCs w:val="20"/>
                <w:lang w:eastAsia="ar-SA"/>
              </w:rPr>
            </w:pPr>
          </w:p>
          <w:p w:rsidR="002B5A8B" w:rsidRDefault="00DF6D3A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.……………………………………</w:t>
            </w:r>
          </w:p>
          <w:p w:rsidR="002B5A8B" w:rsidRDefault="00DF6D3A">
            <w:pPr>
              <w:widowControl w:val="0"/>
              <w:suppressAutoHyphens/>
              <w:spacing w:after="200"/>
              <w:ind w:left="1080" w:hanging="108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liczba pkt w teście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Pamięć operacyjna</w:t>
            </w:r>
          </w:p>
        </w:tc>
        <w:tc>
          <w:tcPr>
            <w:tcW w:w="5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suppressAutoHyphens/>
              <w:jc w:val="both"/>
              <w:rPr>
                <w:rFonts w:cs="Calibri" w:hint="eastAsia"/>
                <w:lang w:eastAsia="ar-SA"/>
              </w:rPr>
            </w:pPr>
          </w:p>
          <w:p w:rsidR="002B5A8B" w:rsidRDefault="00DF6D3A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 xml:space="preserve">Minimum 256 GB pamięci RAM typu </w:t>
            </w:r>
            <w:r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 xml:space="preserve">RDIMM 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eastAsia="ar-SA"/>
              </w:rPr>
              <w:t>DDR4</w:t>
            </w:r>
            <w:r>
              <w:rPr>
                <w:rFonts w:ascii="Arial" w:hAnsi="Arial" w:cs="Calibri"/>
                <w:sz w:val="20"/>
                <w:szCs w:val="20"/>
                <w:lang w:eastAsia="ar-SA"/>
              </w:rPr>
              <w:t xml:space="preserve"> w kościach o pojemności min 32GB. </w:t>
            </w:r>
          </w:p>
          <w:p w:rsidR="002B5A8B" w:rsidRDefault="00DF6D3A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Możliwość zainstalowania minimum 768 GB pamięci RAM.</w:t>
            </w:r>
          </w:p>
          <w:p w:rsidR="002B5A8B" w:rsidRDefault="00DF6D3A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Możliwe zabezpieczenia pamięci: Memory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Rank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Sparing, Memory Mirror.</w:t>
            </w:r>
          </w:p>
          <w:p w:rsidR="002B5A8B" w:rsidRDefault="002B5A8B">
            <w:pPr>
              <w:suppressAutoHyphens/>
              <w:jc w:val="both"/>
              <w:rPr>
                <w:rFonts w:hint="eastAsia"/>
                <w:color w:val="000000"/>
              </w:rPr>
            </w:pPr>
          </w:p>
          <w:p w:rsidR="002B5A8B" w:rsidRDefault="00DF6D3A">
            <w:pPr>
              <w:suppressAutoHyphens/>
              <w:jc w:val="both"/>
              <w:rPr>
                <w:rFonts w:hint="eastAsia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FUNKCJONALNOŚĆ PUNKTOWANA W RAMACH KRYTERIÓW OCENY OFERT:</w:t>
            </w:r>
          </w:p>
          <w:p w:rsidR="002B5A8B" w:rsidRDefault="00DF6D3A">
            <w:pPr>
              <w:suppressAutoHyphens/>
              <w:jc w:val="both"/>
              <w:rPr>
                <w:rFonts w:hint="eastAsia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320 GB pamięci RAM  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eastAsia="ar-SA"/>
              </w:rPr>
              <w:t>w kościach o pojemności min 32GB – 10 punktów</w:t>
            </w:r>
          </w:p>
          <w:p w:rsidR="002B5A8B" w:rsidRDefault="002B5A8B">
            <w:pPr>
              <w:suppressAutoHyphens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3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DF6D3A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.……………………………………</w:t>
            </w:r>
          </w:p>
          <w:p w:rsidR="002B5A8B" w:rsidRDefault="00DF6D3A">
            <w:pPr>
              <w:widowControl w:val="0"/>
              <w:suppressAutoHyphens/>
              <w:spacing w:after="200"/>
              <w:ind w:left="1080" w:hanging="108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ilość pamięci RAM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Sloty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PCI Express / porty</w:t>
            </w:r>
          </w:p>
        </w:tc>
        <w:tc>
          <w:tcPr>
            <w:tcW w:w="5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a) min. 4 slotów  PCI Express generacji 3.</w:t>
            </w: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b) wszystkie złącza PCI Express aktywne</w:t>
            </w: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c) min. 4 porty USB (porty nie mogą zostać osiągnięte poprzez stosowanie dodatkowych adapterów, przejściówek oraz kart rozszerzeń) </w:t>
            </w: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d) min. 1x złącze VGA</w:t>
            </w:r>
          </w:p>
          <w:p w:rsidR="002B5A8B" w:rsidRDefault="002B5A8B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B5A8B" w:rsidRDefault="002B5A8B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B5A8B" w:rsidRDefault="002B5A8B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2B5A8B">
            <w:pPr>
              <w:suppressAutoHyphens/>
              <w:jc w:val="center"/>
              <w:rPr>
                <w:rFonts w:cs="Calibri" w:hint="eastAsia"/>
                <w:lang w:eastAsia="ar-SA"/>
              </w:rPr>
            </w:pPr>
          </w:p>
          <w:p w:rsidR="002B5A8B" w:rsidRDefault="00DF6D3A">
            <w:pPr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……………………………………</w:t>
            </w:r>
          </w:p>
          <w:p w:rsidR="002B5A8B" w:rsidRDefault="00DF6D3A">
            <w:pPr>
              <w:widowControl w:val="0"/>
              <w:suppressAutoHyphens/>
              <w:spacing w:after="200"/>
              <w:ind w:left="1080" w:hanging="108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ilość i rodzaj slotów/portów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>Karta graficzna</w:t>
            </w:r>
          </w:p>
        </w:tc>
        <w:tc>
          <w:tcPr>
            <w:tcW w:w="8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t>Zintegrowana karta graficzna, umożliwiająca wyświetlanie obrazu w rozdzielczości minimum 1280x1024 pikseli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Kontroler dysków</w:t>
            </w:r>
          </w:p>
        </w:tc>
        <w:tc>
          <w:tcPr>
            <w:tcW w:w="8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B5A8B" w:rsidRDefault="00DF6D3A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Sprzętowy  kontroler dyskowy, możliwe konfiguracje poziomów RAID : 0, 1, 5, 6, 10, 50. </w:t>
            </w:r>
          </w:p>
          <w:p w:rsidR="002B5A8B" w:rsidRDefault="002B5A8B">
            <w:pPr>
              <w:suppressAutoHyphens/>
              <w:spacing w:before="12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Wewnętrzna pamięć masowa</w:t>
            </w:r>
          </w:p>
        </w:tc>
        <w:tc>
          <w:tcPr>
            <w:tcW w:w="8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2B5A8B" w:rsidRDefault="00DF6D3A">
            <w:pPr>
              <w:suppressAutoHyphens/>
              <w:spacing w:before="12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Wewnętrzny moduł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DualSD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dedykowany dla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hypervisora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wirtualizacyjnego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wyposażony w dwa jednakowe nośniki typu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flash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(karty SD) o pojemności min. 32GB z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możliwoscią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konfiguracji zabezpieczenia synchronizacji pomiędzy nośnikami z poziomu BIOS serwera, rozwiązanie nie może powodować zmniejszenia ilości wnęk na dyski twarde.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Możliwość instalacji dysków twardych SATA, SAS,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NearLine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SAS i SSD.</w:t>
            </w:r>
          </w:p>
          <w:p w:rsidR="002B5A8B" w:rsidRDefault="002B5A8B">
            <w:pPr>
              <w:suppressAutoHyphens/>
              <w:spacing w:before="12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uppressAutoHyphens/>
              <w:spacing w:before="120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5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Minimum cztery interfejsy sieciowe 1Gb Ethernet w standardzie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BaseT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Wsparcie dla protokołu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iSCSI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2B5A8B" w:rsidRDefault="002B5A8B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Min 2 interfejsy FC pracujące z prędkością min 8Gb wraz z kablami połączeniowymi o długości min. 2m oraz wkładkami SFP.</w:t>
            </w:r>
          </w:p>
          <w:p w:rsidR="002B5A8B" w:rsidRDefault="002B5A8B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Możliwość instalacji wymiennie modułów udostępniających:</w:t>
            </w: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- minimum cztery interfejsy sieciowe 10Gb Ethernet ze złączami w standardzie SFP+</w:t>
            </w: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minimum cztery interfejsy sieciowe 10Gb Ethernet ze złączami w standardzie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BaseT</w:t>
            </w:r>
            <w:proofErr w:type="spellEnd"/>
          </w:p>
          <w:p w:rsidR="002B5A8B" w:rsidRDefault="002B5A8B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B5A8B" w:rsidRDefault="00DF6D3A">
            <w:pPr>
              <w:suppressAutoHyphens/>
              <w:jc w:val="both"/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cztery interfejsy sieciowe 10Gb Ethernet ze złączami w standardzie SFP+ – 10 punktów.</w:t>
            </w:r>
          </w:p>
          <w:p w:rsidR="002B5A8B" w:rsidRDefault="002B5A8B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2B5A8B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2B5A8B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2B5A8B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2B5A8B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2B5A8B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2B5A8B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2B5A8B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DF6D3A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  <w:lang w:eastAsia="ar-SA"/>
              </w:rPr>
              <w:br/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eastAsia="ar-SA"/>
              </w:rPr>
              <w:t>ilość i rodzaj interfejsów sieciowych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uppressAutoHyphens/>
              <w:rPr>
                <w:rFonts w:hint="eastAsia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lang w:eastAsia="ar-SA"/>
              </w:rPr>
              <w:t>Zasilacze i Wentylatory</w:t>
            </w:r>
          </w:p>
        </w:tc>
        <w:tc>
          <w:tcPr>
            <w:tcW w:w="52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Redundancja zasilania, redundantne zasilacze hot plug o sprawności min.94% (tzw. klasa Platinum)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wraz z kablami zasilającymi o długości min. 2m każdy.</w:t>
            </w: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Redundantne wentylatory hot plug. Ilość zainstalowanych wentylatorów pracujących w trybie redundancji Hot-Plug zapewniająca poprawne chłodzenie serwera nawet w przypadku jego maksymalnej rozbudowy.</w:t>
            </w:r>
          </w:p>
          <w:p w:rsidR="002B5A8B" w:rsidRDefault="002B5A8B">
            <w:pPr>
              <w:suppressAutoHyphens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suppressAutoHyphens/>
              <w:spacing w:before="120"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2B5A8B">
            <w:pPr>
              <w:suppressAutoHyphens/>
              <w:spacing w:before="120"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DF6D3A">
            <w:pPr>
              <w:suppressAutoHyphens/>
              <w:spacing w:before="120"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..............................................................ilość, sprawność i moc zainstalowanych zasilaczy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uppressAutoHyphens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52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uppressAutoHyphens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3 lata gwarancji realizowanej w miejscu instalacji sprzętu, z czasem reakcji do następnego dnia roboczego od przyjęcia zgłoszenia, możliwość zgłaszania awarii w trybie 24x7x365 poprzez ogólnopolską linię telefoniczną producenta. 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FUNKCJONALNOŚĆ PUNKTOWANA W RAMACH KRYTERIÓW OCENY OFERT: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 lat gwarancji – 20 punktów</w:t>
            </w:r>
          </w:p>
          <w:p w:rsidR="002B5A8B" w:rsidRDefault="002B5A8B">
            <w:pPr>
              <w:suppressAutoHyphens/>
              <w:spacing w:before="12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3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2B5A8B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:rsidR="002B5A8B" w:rsidRDefault="00DF6D3A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  <w:lang w:eastAsia="ar-SA"/>
              </w:rPr>
              <w:br/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eastAsia="ar-SA"/>
              </w:rPr>
              <w:t>okres gwarancji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uppressAutoHyphens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8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Nie jest wymagany system operacyjny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uppressAutoHyphens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Bezpieczeństwo i system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diagnostyczny</w:t>
            </w:r>
          </w:p>
        </w:tc>
        <w:tc>
          <w:tcPr>
            <w:tcW w:w="8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uppressAutoHyphens/>
              <w:spacing w:before="240"/>
              <w:rPr>
                <w:rFonts w:hint="eastAsia"/>
              </w:rPr>
            </w:pPr>
            <w:r>
              <w:rPr>
                <w:rFonts w:ascii="Arial" w:hAnsi="Arial" w:cs="Calibri"/>
                <w:sz w:val="20"/>
                <w:szCs w:val="20"/>
                <w:lang w:eastAsia="ar-SA"/>
              </w:rPr>
              <w:lastRenderedPageBreak/>
              <w:t>Wbudowane diody informacyjne informujące o stanie serwera,</w:t>
            </w:r>
          </w:p>
          <w:p w:rsidR="002B5A8B" w:rsidRDefault="00DF6D3A">
            <w:pPr>
              <w:suppressAutoHyphens/>
              <w:jc w:val="both"/>
              <w:rPr>
                <w:rFonts w:hint="eastAsia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  <w:lang w:eastAsia="ar-SA"/>
              </w:rPr>
              <w:lastRenderedPageBreak/>
              <w:t>Zintegrowany z płytą główną moduł TPM 2.0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uppressAutoHyphens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Karta zarządzająca</w:t>
            </w:r>
          </w:p>
        </w:tc>
        <w:tc>
          <w:tcPr>
            <w:tcW w:w="8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Zintegrowany z płytą główną serwera kontroler sprzętowy zdalnego zarządzania zgodny z IPMI 2.0 o funkcjonalnościach: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Niezależny od systemu operacyjnego, sprzętowy kontroler umożliwiający pełne zarządzanie, zdalny restart serwera,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 xml:space="preserve">Dedykowana karta LAN 1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/s  (dedykowane złącze RJ-45 z tyłu obudowy) do komunikacji wyłącznie z kontrolerem zdalnego zarządzania z możliwością przeniesienia tej komunikacji na inną kartę sieciową współdzieloną z systemem operacyjnym,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Dostęp poprzez przeglądarkę Web (także SSL, SSH),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Zarządzanie mocą i jej zużyciem oraz monitoring zużycia energii,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Zarządzanie alarmami (zdarzenia poprzez SNMP),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Możliwość przejęcia konsoli tekstowej,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Przekierowanie konsoli graficznej na poziomie sprzętowym oraz możliwość montowania zdalnych napędów i ich obrazów na poziomie sprzętowym (cyfrowy KVM),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Sprzętowy monitoring serwera w tym stanu dysków twardych i kontrolera RAID (bez pośrednictwa agentów systemowych),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Karta zarządzająca musi sprzętowo wspierać wirtualizację warstwy sieciowej serwera, bez wykorzystania zewnętrznego hardware - wirtualizacja MAC i WWN na wybranych kartach zainstalowanych w serwerze (co najmniej wsparcie dla technologii kart 10Gbit/s Ethernet i kart FC 8Gbit/s oferowanych przez producenta serwera),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itd.),</w:t>
            </w:r>
          </w:p>
          <w:p w:rsidR="002B5A8B" w:rsidRDefault="002B5A8B">
            <w:pPr>
              <w:suppressAutoHyphens/>
              <w:spacing w:before="120"/>
              <w:jc w:val="both"/>
              <w:rPr>
                <w:rFonts w:hint="eastAsia"/>
              </w:rPr>
            </w:pP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uppressAutoHyphens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8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uppressAutoHyphens/>
              <w:spacing w:before="12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Zamawiający wymaga dokumentacji w języku polskim lub angielskim.</w:t>
            </w:r>
          </w:p>
        </w:tc>
      </w:tr>
      <w:tr w:rsidR="002B5A8B">
        <w:trPr>
          <w:trHeight w:val="360"/>
          <w:jc w:val="center"/>
        </w:trPr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uppressAutoHyphens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86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Wykonawca zobowiązany jest do ujęcia w ofercie (tym samym w wycenie) wszystkich niezbędnych elementów z tego zakresu, które są wymagane do uruchomienia przedmiotowej Infrastruktury IT (licencji, przewodów,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patchcordów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, śrub mocujących etc.)</w:t>
            </w:r>
            <w:bookmarkStart w:id="1" w:name="__DdeLink__6791_1487198240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oraz wsparcia technicznego w trakcie instalacji i konfiguracji</w:t>
            </w:r>
            <w:bookmarkEnd w:id="1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dostarczonego sprzętu.</w:t>
            </w:r>
          </w:p>
          <w:p w:rsidR="002B5A8B" w:rsidRDefault="00DF6D3A">
            <w:pPr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Oferowany serwer musi znajdować się na liście kompatybilności VMWARE COMPATIBILITY GUIDE (</w:t>
            </w:r>
            <w:hyperlink r:id="rId5">
              <w:r>
                <w:rPr>
                  <w:rStyle w:val="czeinternetowe"/>
                  <w:rFonts w:ascii="Arial" w:hAnsi="Arial"/>
                  <w:color w:val="000000"/>
                  <w:sz w:val="20"/>
                  <w:szCs w:val="20"/>
                </w:rPr>
                <w:t>http://www.vmware.com/resources/compatibility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 xml:space="preserve">) dla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ESXi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od wersji 6.0 U3 wzwyż.</w:t>
            </w:r>
          </w:p>
        </w:tc>
      </w:tr>
    </w:tbl>
    <w:p w:rsidR="002B5A8B" w:rsidRDefault="002B5A8B">
      <w:pPr>
        <w:rPr>
          <w:rFonts w:ascii="Arial" w:hAnsi="Arial"/>
        </w:rPr>
      </w:pPr>
    </w:p>
    <w:p w:rsidR="002B5A8B" w:rsidRDefault="002B5A8B">
      <w:pPr>
        <w:rPr>
          <w:rFonts w:ascii="Arial" w:hAnsi="Arial"/>
        </w:rPr>
      </w:pPr>
    </w:p>
    <w:p w:rsidR="002B5A8B" w:rsidRDefault="002B5A8B">
      <w:pPr>
        <w:rPr>
          <w:rFonts w:ascii="Arial" w:hAnsi="Arial"/>
        </w:rPr>
      </w:pPr>
    </w:p>
    <w:p w:rsidR="002B5A8B" w:rsidRDefault="002B5A8B">
      <w:pPr>
        <w:rPr>
          <w:rFonts w:ascii="Arial" w:hAnsi="Arial"/>
        </w:rPr>
      </w:pPr>
    </w:p>
    <w:p w:rsidR="002B5A8B" w:rsidRDefault="00DF6D3A">
      <w:pPr>
        <w:ind w:left="4248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:rsidR="002B5A8B" w:rsidRDefault="00DF6D3A">
      <w:pPr>
        <w:tabs>
          <w:tab w:val="left" w:pos="-426"/>
        </w:tabs>
        <w:ind w:left="4956" w:right="-712" w:hanging="283"/>
        <w:rPr>
          <w:rFonts w:ascii="Tahoma" w:hAnsi="Tahoma" w:cs="Tahoma"/>
          <w:i/>
          <w:lang w:eastAsia="x-none"/>
        </w:rPr>
      </w:pPr>
      <w:r>
        <w:rPr>
          <w:rFonts w:ascii="Tahoma" w:hAnsi="Tahoma" w:cs="Tahoma"/>
          <w:i/>
          <w:sz w:val="14"/>
          <w:szCs w:val="18"/>
        </w:rPr>
        <w:tab/>
      </w:r>
      <w:r>
        <w:rPr>
          <w:rFonts w:ascii="Tahoma" w:hAnsi="Tahoma" w:cs="Tahoma"/>
          <w:i/>
          <w:sz w:val="14"/>
          <w:szCs w:val="18"/>
        </w:rPr>
        <w:tab/>
        <w:t>/Podpis osoby/osób upoważnionej do występowania w imieniu wykonawcy/(czytelny podpis albo podpis i pieczątka z imieniem i nazwiskiem)</w:t>
      </w:r>
    </w:p>
    <w:p w:rsidR="002B5A8B" w:rsidRDefault="002B5A8B">
      <w:pPr>
        <w:rPr>
          <w:rFonts w:ascii="Arial" w:hAnsi="Arial"/>
        </w:rPr>
      </w:pPr>
    </w:p>
    <w:p w:rsidR="002B5A8B" w:rsidRDefault="002B5A8B">
      <w:pPr>
        <w:rPr>
          <w:rFonts w:ascii="Arial" w:hAnsi="Arial"/>
        </w:rPr>
      </w:pPr>
    </w:p>
    <w:p w:rsidR="002B5A8B" w:rsidRDefault="002B5A8B">
      <w:pPr>
        <w:rPr>
          <w:rFonts w:ascii="Arial" w:hAnsi="Arial"/>
        </w:rPr>
      </w:pPr>
    </w:p>
    <w:p w:rsidR="002B5A8B" w:rsidRDefault="002B5A8B">
      <w:pPr>
        <w:rPr>
          <w:rFonts w:ascii="Arial" w:hAnsi="Arial"/>
          <w:b/>
          <w:bCs/>
          <w:u w:val="single"/>
          <w:lang w:val="pl"/>
        </w:rPr>
      </w:pPr>
    </w:p>
    <w:p w:rsidR="00DB3F42" w:rsidRDefault="00DB3F42">
      <w:pPr>
        <w:rPr>
          <w:rFonts w:ascii="Arial" w:hAnsi="Arial"/>
          <w:b/>
          <w:bCs/>
          <w:u w:val="single"/>
          <w:lang w:val="pl"/>
        </w:rPr>
      </w:pPr>
    </w:p>
    <w:p w:rsidR="00DB3F42" w:rsidRDefault="00DB3F42">
      <w:pPr>
        <w:rPr>
          <w:rFonts w:ascii="Arial" w:hAnsi="Arial"/>
          <w:b/>
          <w:bCs/>
          <w:u w:val="single"/>
          <w:lang w:val="pl"/>
        </w:rPr>
      </w:pPr>
    </w:p>
    <w:p w:rsidR="00DB3F42" w:rsidRDefault="00DB3F42">
      <w:pPr>
        <w:rPr>
          <w:rFonts w:ascii="Arial" w:hAnsi="Arial"/>
          <w:b/>
          <w:bCs/>
          <w:u w:val="single"/>
          <w:lang w:val="pl"/>
        </w:rPr>
      </w:pPr>
    </w:p>
    <w:p w:rsidR="00DB3F42" w:rsidRDefault="00DB3F42">
      <w:pPr>
        <w:rPr>
          <w:rFonts w:ascii="Arial" w:hAnsi="Arial"/>
          <w:b/>
          <w:bCs/>
          <w:u w:val="single"/>
          <w:lang w:val="pl"/>
        </w:rPr>
      </w:pPr>
    </w:p>
    <w:p w:rsidR="00DB3F42" w:rsidRDefault="00DB3F42">
      <w:pPr>
        <w:rPr>
          <w:rFonts w:ascii="Arial" w:hAnsi="Arial"/>
          <w:b/>
          <w:bCs/>
          <w:u w:val="single"/>
          <w:lang w:val="pl"/>
        </w:rPr>
      </w:pPr>
    </w:p>
    <w:p w:rsidR="00DB3F42" w:rsidRDefault="00DB3F42">
      <w:pPr>
        <w:rPr>
          <w:rFonts w:ascii="Arial" w:hAnsi="Arial"/>
          <w:b/>
          <w:bCs/>
          <w:u w:val="single"/>
          <w:lang w:val="pl"/>
        </w:rPr>
      </w:pPr>
    </w:p>
    <w:p w:rsidR="00DB3F42" w:rsidRDefault="00DB3F42">
      <w:pPr>
        <w:rPr>
          <w:rFonts w:ascii="Arial" w:hAnsi="Arial"/>
          <w:b/>
          <w:bCs/>
          <w:u w:val="single"/>
          <w:lang w:val="pl"/>
        </w:rPr>
      </w:pPr>
    </w:p>
    <w:p w:rsidR="002B5A8B" w:rsidRPr="00DB3F42" w:rsidRDefault="00DB3F42" w:rsidP="00DB3F42">
      <w:pPr>
        <w:pStyle w:val="Nagwek3"/>
        <w:numPr>
          <w:ilvl w:val="2"/>
          <w:numId w:val="4"/>
        </w:numPr>
      </w:pPr>
      <w:r>
        <w:lastRenderedPageBreak/>
        <w:t>CZĘŚĆ NR 2</w:t>
      </w:r>
      <w:r w:rsidR="00DF6D3A" w:rsidRPr="00DB3F42">
        <w:rPr>
          <w:bCs/>
          <w:lang w:val="pl"/>
        </w:rPr>
        <w:t>:  m</w:t>
      </w:r>
      <w:r w:rsidR="00DF6D3A" w:rsidRPr="00DB3F42">
        <w:rPr>
          <w:lang w:val="pl"/>
        </w:rPr>
        <w:t xml:space="preserve">acierz dyskowa – 1 szt. </w:t>
      </w:r>
    </w:p>
    <w:tbl>
      <w:tblPr>
        <w:tblW w:w="10432" w:type="dxa"/>
        <w:tblInd w:w="-39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1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5568"/>
        <w:gridCol w:w="3048"/>
      </w:tblGrid>
      <w:tr w:rsidR="002B5A8B">
        <w:trPr>
          <w:trHeight w:val="360"/>
        </w:trPr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>Komponent</w:t>
            </w:r>
          </w:p>
        </w:tc>
        <w:tc>
          <w:tcPr>
            <w:tcW w:w="5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>Minimalne wymagania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Parametry oferowanego urządzenia</w:t>
            </w:r>
          </w:p>
        </w:tc>
      </w:tr>
      <w:tr w:rsidR="002B5A8B">
        <w:trPr>
          <w:trHeight w:val="481"/>
        </w:trPr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5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Macierz dyskowa 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DF6D3A">
            <w:pPr>
              <w:widowControl w:val="0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model, symbol, producent urządzenia</w:t>
            </w:r>
          </w:p>
        </w:tc>
      </w:tr>
      <w:tr w:rsidR="002B5A8B">
        <w:trPr>
          <w:trHeight w:val="481"/>
        </w:trPr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 xml:space="preserve">Obudowa </w:t>
            </w:r>
          </w:p>
        </w:tc>
        <w:tc>
          <w:tcPr>
            <w:tcW w:w="86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System musi być dostarczony ze wszystkimi komponentami do instalacji w szafie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rack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 19''. </w:t>
            </w:r>
          </w:p>
        </w:tc>
      </w:tr>
      <w:tr w:rsidR="002B5A8B">
        <w:trPr>
          <w:trHeight w:val="835"/>
        </w:trPr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 xml:space="preserve">Pojemność: </w:t>
            </w:r>
          </w:p>
        </w:tc>
        <w:tc>
          <w:tcPr>
            <w:tcW w:w="5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System musi zostać dostarczony w konfiguracji zawierającej minimum: 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- 10 dysk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ów 1,2 TB SAS 10k, 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- 6 dysków 4TB NL-SAS,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- 2 dyski 800 GB SSD,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System musi mieć możliwość podwojenia pojemności dla każdego typu dysków w ciągu 5 lat od daty uruchomienia sprzętu.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Dodatkowe półki dyskowe instalowane w macierzy muszą pozwalać na jednoczesną instalację dysk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ów SAS, NL-SAS i SSD. </w:t>
            </w: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2B5A8B" w:rsidRDefault="00DF6D3A">
            <w:pPr>
              <w:widowControl w:val="0"/>
              <w:suppressAutoHyphens/>
              <w:spacing w:before="120"/>
              <w:jc w:val="both"/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FUNKCJONALNOŚĆ PUNKTOWANA W RAMACH KRYTERIÓW OCENY OFERT: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- dodatkowy dysk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1,2 TB SAS 10k – 10 punktów </w:t>
            </w:r>
          </w:p>
          <w:p w:rsidR="002B5A8B" w:rsidRDefault="00DF6D3A">
            <w:pPr>
              <w:widowControl w:val="0"/>
              <w:suppressAutoHyphens/>
              <w:spacing w:before="120"/>
              <w:jc w:val="both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 dodatkowy dysk 4TB NL-SAS – 10 punktów,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DF6D3A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DF6D3A">
            <w:pPr>
              <w:widowControl w:val="0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typy i rozmiary dysków</w:t>
            </w:r>
          </w:p>
        </w:tc>
      </w:tr>
      <w:tr w:rsidR="002B5A8B">
        <w:trPr>
          <w:trHeight w:val="835"/>
        </w:trPr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 xml:space="preserve">Kontroler </w:t>
            </w:r>
          </w:p>
        </w:tc>
        <w:tc>
          <w:tcPr>
            <w:tcW w:w="86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Dwa kontrolery  wyposażone w przynajmniej 8GB cache każdy. </w:t>
            </w:r>
          </w:p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W przypadku awarii zasilania dane nie zapisane na dyski, przechowywane w pamięci muszą być zabezpieczone za pomocą podtrzymania bateryjnego przez 72 godziny lub jako zrzut na pamięć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flash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.</w:t>
            </w:r>
          </w:p>
        </w:tc>
      </w:tr>
      <w:tr w:rsidR="002B5A8B">
        <w:trPr>
          <w:trHeight w:val="835"/>
        </w:trPr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 xml:space="preserve"> Porty</w:t>
            </w:r>
          </w:p>
        </w:tc>
        <w:tc>
          <w:tcPr>
            <w:tcW w:w="5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Oferowana macierz musi posiadać minimum 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8 portów 16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Gb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 FC umożliwiających podpięcie bezpośrednio do serwerów lub infrastruktury sieciowej.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4 porty SAS do podłączania zewnętrznych p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ółek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dyskowych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2 porty 1GbE do zarządzania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  <w:lang w:val="pl"/>
              </w:rPr>
              <w:t>Jeśli porty w macierzy wymagają instalacji odpowiednich wkładek do realizacji w/w połączeń, zamawiający wymaga ich dostarczenia.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  <w:lang w:val="pl"/>
              </w:rPr>
              <w:t>Zamawiający wymaga dostarczenia także kompletu okablowania w tym przewody światłowodowe nie kr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ótsze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niż 5m.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2B5A8B">
            <w:pPr>
              <w:widowControl w:val="0"/>
              <w:spacing w:after="20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B5A8B" w:rsidRDefault="00DF6D3A">
            <w:pPr>
              <w:widowControl w:val="0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ilość i rodzaj portów</w:t>
            </w:r>
          </w:p>
        </w:tc>
      </w:tr>
      <w:tr w:rsidR="002B5A8B">
        <w:trPr>
          <w:trHeight w:val="835"/>
        </w:trPr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 xml:space="preserve">RAID </w:t>
            </w:r>
          </w:p>
        </w:tc>
        <w:tc>
          <w:tcPr>
            <w:tcW w:w="86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Wsparcie dla RAID: 0, 1, 5, 6, 10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Obliczanie sum kontrolnych (kodów parzystości) dla grup dyskowych RAID5 i RAID6 musi być realizowane w sposób sprzętowy przez dedykowany układ w macierzy. </w:t>
            </w:r>
          </w:p>
        </w:tc>
      </w:tr>
      <w:tr w:rsidR="002B5A8B">
        <w:trPr>
          <w:trHeight w:val="835"/>
        </w:trPr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 xml:space="preserve">Obsługiwane protokoły </w:t>
            </w:r>
          </w:p>
        </w:tc>
        <w:tc>
          <w:tcPr>
            <w:tcW w:w="86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Macierz musi udostępniać dane po FC.</w:t>
            </w:r>
          </w:p>
        </w:tc>
      </w:tr>
      <w:tr w:rsidR="002B5A8B">
        <w:trPr>
          <w:trHeight w:val="835"/>
        </w:trPr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lastRenderedPageBreak/>
              <w:t>Funkcjonalność</w:t>
            </w:r>
          </w:p>
        </w:tc>
        <w:tc>
          <w:tcPr>
            <w:tcW w:w="86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widowControl w:val="0"/>
              <w:spacing w:before="120"/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</w:pPr>
          </w:p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Macierz musi posiadać wsparcie dla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wielościeżkowości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 dla system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ów: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  <w:lang w:val="en-GB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Microsoft® Windows Server®, Red Hat Enterprise Linux®, Novell SUSE Linux Enterprise Server, VMware® ESX®, Oracle® Solaris, HP HP-UX, IBM AIX,  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Macierz musi posiadać funkcjonalność wykonywania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snapshot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ów.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Macierz musi posiadać funkcjonalność klonowania danych.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Macierz musi posiadać funkcjonalność replikacji danych pomiędzy macierzami tego samego typu w trybie  synchronicznym i asynchronicznym. </w:t>
            </w:r>
            <w:r>
              <w:rPr>
                <w:rFonts w:ascii="Arial" w:hAnsi="Arial" w:cs="Fira Sans"/>
                <w:color w:val="000000"/>
                <w:sz w:val="20"/>
                <w:szCs w:val="20"/>
                <w:lang w:val="pl"/>
              </w:rPr>
              <w:t>Jeżeli ta funkcjonalność jest dodatkowo licencjonowana, Zamawiający nie wymaga dostarczenia tej licencji w aktualnym postępowaniu.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Macierz musi umożliwiać dynamiczną zmianę rozmiaru wolumen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ów logicznych bez przerywania pracy macierzy i bez przerywania dostępu do danych znajdujących się na danym wolumenie.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Macierz musi pozwalać na dynamiczną migrację pomiędzy poziomami RAID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Macierz musi pozwalać na wykorzystanie dysk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ów SSD w celu akceleracji odczytów.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Macierz musi posiadać oprogramowanie do monitoringu stanu dysk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ów, które pozwala na identyfikowanie potencjalnie zagrożonych awarią dysków.</w:t>
            </w: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color w:val="000000"/>
                <w:sz w:val="20"/>
                <w:szCs w:val="20"/>
                <w:lang w:val="pl"/>
              </w:rPr>
            </w:pPr>
          </w:p>
          <w:p w:rsidR="002B5A8B" w:rsidRDefault="00DF6D3A">
            <w:pPr>
              <w:widowControl w:val="0"/>
              <w:spacing w:before="120"/>
              <w:rPr>
                <w:rFonts w:hint="eastAsia"/>
                <w:lang w:val="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Wraz z system m musi zostać dostarczone narzędzie do monitoringu macierzy w kontekście: 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  <w:lang w:val="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- wydajności 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op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óźnień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na wolumenach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  <w:lang w:val="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- wydajności I/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Ops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, MB/s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  <w:lang w:val="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- trafności w cache</w:t>
            </w: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color w:val="000000"/>
                <w:sz w:val="20"/>
                <w:szCs w:val="20"/>
                <w:lang w:val="pl"/>
              </w:rPr>
            </w:pPr>
          </w:p>
          <w:p w:rsidR="002B5A8B" w:rsidRDefault="00DF6D3A">
            <w:pPr>
              <w:widowControl w:val="0"/>
              <w:spacing w:before="120"/>
              <w:rPr>
                <w:rFonts w:ascii="Arial" w:hAnsi="Arial"/>
                <w:color w:val="000000"/>
                <w:sz w:val="20"/>
                <w:szCs w:val="20"/>
                <w:lang w:val="pl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Na wszystkie wymienione funkcjonalności, poza replikacją danych, należy dostarczyć licencje jeśli są wymagane.</w:t>
            </w:r>
          </w:p>
        </w:tc>
      </w:tr>
      <w:tr w:rsidR="002B5A8B">
        <w:trPr>
          <w:trHeight w:val="835"/>
        </w:trPr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Redundancja</w:t>
            </w:r>
          </w:p>
        </w:tc>
        <w:tc>
          <w:tcPr>
            <w:tcW w:w="86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rPr>
                <w:rFonts w:ascii="Arial" w:hAnsi="Arial" w:cs="Fira Sans"/>
                <w:sz w:val="20"/>
                <w:szCs w:val="20"/>
              </w:rPr>
            </w:pPr>
          </w:p>
          <w:p w:rsidR="002B5A8B" w:rsidRDefault="00DF6D3A">
            <w:pPr>
              <w:rPr>
                <w:rFonts w:ascii="Arial" w:hAnsi="Arial" w:cs="Fira Sans"/>
                <w:sz w:val="20"/>
                <w:szCs w:val="20"/>
              </w:rPr>
            </w:pPr>
            <w:r>
              <w:rPr>
                <w:rFonts w:ascii="Arial" w:hAnsi="Arial" w:cs="Fira Sans"/>
                <w:sz w:val="20"/>
                <w:szCs w:val="20"/>
              </w:rPr>
              <w:t>Macierz nie może posiadać pojedynczego punktu awarii, który powodowałby brak dostępu do danych. Musi być zapewniona pełna redundancja komponentów, w szczególności zdublowanie kontrolerów, zasilaczy i wentylatorów.</w:t>
            </w:r>
          </w:p>
          <w:p w:rsidR="002B5A8B" w:rsidRDefault="00DF6D3A">
            <w:pPr>
              <w:rPr>
                <w:rFonts w:ascii="Arial" w:hAnsi="Arial" w:cs="Fira Sans"/>
                <w:sz w:val="20"/>
                <w:szCs w:val="20"/>
              </w:rPr>
            </w:pPr>
            <w:r>
              <w:rPr>
                <w:rFonts w:ascii="Arial" w:hAnsi="Arial" w:cs="Fira Sans"/>
                <w:sz w:val="20"/>
                <w:szCs w:val="20"/>
              </w:rPr>
              <w:t>Macierz musi umożliwiać wymianę elementów systemu w trybie „hot-</w:t>
            </w:r>
            <w:proofErr w:type="spellStart"/>
            <w:r>
              <w:rPr>
                <w:rFonts w:ascii="Arial" w:hAnsi="Arial" w:cs="Fira Sans"/>
                <w:sz w:val="20"/>
                <w:szCs w:val="20"/>
              </w:rPr>
              <w:t>swap</w:t>
            </w:r>
            <w:proofErr w:type="spellEnd"/>
            <w:r>
              <w:rPr>
                <w:rFonts w:ascii="Arial" w:hAnsi="Arial" w:cs="Fira Sans"/>
                <w:sz w:val="20"/>
                <w:szCs w:val="20"/>
              </w:rPr>
              <w:t>”, a w szczególności takich, jak: dyski, kontrolery, zasilacze, wentylatory.</w:t>
            </w:r>
          </w:p>
          <w:p w:rsidR="002B5A8B" w:rsidRDefault="00DF6D3A">
            <w:pPr>
              <w:rPr>
                <w:rFonts w:ascii="Arial" w:hAnsi="Arial" w:cs="Fira Sans"/>
                <w:bCs/>
                <w:sz w:val="20"/>
                <w:szCs w:val="20"/>
              </w:rPr>
            </w:pPr>
            <w:r>
              <w:rPr>
                <w:rFonts w:ascii="Arial" w:hAnsi="Arial" w:cs="Fira Sans"/>
                <w:bCs/>
                <w:sz w:val="20"/>
                <w:szCs w:val="20"/>
              </w:rPr>
              <w:t>Macierz musi mieć możliwość zasilania z dwóch niezależnych źródeł zasilania –odporność na zanik zasilania jednej fazy lub awarię jednego z zasilaczy macierzy.</w:t>
            </w:r>
          </w:p>
          <w:p w:rsidR="002B5A8B" w:rsidRDefault="00DF6D3A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Fira Sans"/>
                <w:sz w:val="20"/>
                <w:szCs w:val="20"/>
              </w:rPr>
              <w:t>Macierz musi umożliwiać zdalne zarządzanie macierzą.</w:t>
            </w:r>
          </w:p>
        </w:tc>
      </w:tr>
      <w:tr w:rsidR="002B5A8B">
        <w:trPr>
          <w:trHeight w:val="835"/>
        </w:trPr>
        <w:tc>
          <w:tcPr>
            <w:tcW w:w="1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>Inne</w:t>
            </w:r>
          </w:p>
        </w:tc>
        <w:tc>
          <w:tcPr>
            <w:tcW w:w="861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Wykonawca zobowiązany jest do ujęcia w ofercie (tym samym w wycenie) wszystkich niezbędnych element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ów z tego zakresu, które są wymagane do uruchomienia przedmiotowej Infrastruktury IT (licencji, przewodów,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patchcordów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, śrub mocujących etc.) oraz wsparcia technicznego w trakcie instalacji i konfiguracji dostarczonego sprzętu.</w:t>
            </w:r>
          </w:p>
        </w:tc>
      </w:tr>
      <w:tr w:rsidR="002B5A8B">
        <w:trPr>
          <w:trHeight w:val="835"/>
        </w:trPr>
        <w:tc>
          <w:tcPr>
            <w:tcW w:w="1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val="pl"/>
              </w:rPr>
              <w:t xml:space="preserve">Gwarancja i serwis </w:t>
            </w:r>
          </w:p>
        </w:tc>
        <w:tc>
          <w:tcPr>
            <w:tcW w:w="5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3 lata serwisu producenta z czasem odpowiedzi na awarie krytyczne 2 godziny i wymiana elementów na następny dzień roboczy</w:t>
            </w:r>
          </w:p>
          <w:p w:rsidR="002B5A8B" w:rsidRDefault="00DF6D3A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 xml:space="preserve">Serwis musi umożliwiać  zgłaszanie awarii w trybie 24x7. 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Dostarczony system musi posiadać r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ównież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3 lata subskrypcji dla dostarczonego wraz z macierzą oprogramowania, dostęp do portalu serwisowego producenta, dostęp do wiedzy i informacji technicznych dotyczących oferowanego urządzenia.</w:t>
            </w:r>
          </w:p>
          <w:p w:rsidR="002B5A8B" w:rsidRDefault="00DF6D3A">
            <w:pPr>
              <w:widowControl w:val="0"/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W przypadku awarii uszkodzone nośniki pozostają własnością Zamawiającego.</w:t>
            </w: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color w:val="000000"/>
                <w:sz w:val="20"/>
                <w:szCs w:val="20"/>
                <w:lang w:val="pl"/>
              </w:rPr>
            </w:pPr>
          </w:p>
          <w:p w:rsidR="002B5A8B" w:rsidRDefault="00DF6D3A">
            <w:pPr>
              <w:suppressAutoHyphens/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2" w:name="__DdeLink__19526_2392135386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FUNKCJONALNOŚĆ PUNKTOWANA W RAMACH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>KRYTERIÓW OCENY OFERT:</w:t>
            </w:r>
          </w:p>
          <w:p w:rsidR="002B5A8B" w:rsidRDefault="00DF6D3A">
            <w:pPr>
              <w:widowControl w:val="0"/>
              <w:suppressAutoHyphens/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pl"/>
              </w:rPr>
              <w:t>5 lat serwisu producenta, 5 lat subskrypcji oprogramowania – 20 punktów</w:t>
            </w:r>
            <w:bookmarkEnd w:id="2"/>
          </w:p>
        </w:tc>
        <w:tc>
          <w:tcPr>
            <w:tcW w:w="3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2B5A8B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2B5A8B" w:rsidRDefault="002B5A8B">
            <w:pPr>
              <w:widowControl w:val="0"/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2B5A8B" w:rsidRDefault="00DF6D3A">
            <w:pPr>
              <w:widowControl w:val="0"/>
              <w:suppressAutoHyphens/>
              <w:spacing w:after="200"/>
              <w:jc w:val="center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  <w:lang w:eastAsia="ar-SA"/>
              </w:rPr>
              <w:br/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eastAsia="ar-SA"/>
              </w:rPr>
              <w:lastRenderedPageBreak/>
              <w:t>okres gwarancji</w:t>
            </w:r>
          </w:p>
        </w:tc>
      </w:tr>
    </w:tbl>
    <w:p w:rsidR="002B5A8B" w:rsidRDefault="002B5A8B">
      <w:pPr>
        <w:ind w:left="4248" w:firstLine="708"/>
        <w:jc w:val="both"/>
        <w:rPr>
          <w:rFonts w:ascii="Tahoma" w:hAnsi="Tahoma" w:cs="Tahoma"/>
          <w:sz w:val="18"/>
          <w:szCs w:val="18"/>
        </w:rPr>
      </w:pPr>
    </w:p>
    <w:p w:rsidR="002B5A8B" w:rsidRDefault="002B5A8B">
      <w:pPr>
        <w:ind w:left="4248" w:firstLine="708"/>
        <w:jc w:val="both"/>
        <w:rPr>
          <w:rFonts w:ascii="Tahoma" w:hAnsi="Tahoma" w:cs="Tahoma"/>
          <w:sz w:val="18"/>
          <w:szCs w:val="18"/>
        </w:rPr>
      </w:pPr>
    </w:p>
    <w:p w:rsidR="002B5A8B" w:rsidRDefault="002B5A8B">
      <w:pPr>
        <w:ind w:left="4248" w:firstLine="708"/>
        <w:jc w:val="both"/>
        <w:rPr>
          <w:rFonts w:ascii="Tahoma" w:hAnsi="Tahoma" w:cs="Tahoma"/>
          <w:sz w:val="18"/>
          <w:szCs w:val="18"/>
        </w:rPr>
      </w:pPr>
    </w:p>
    <w:p w:rsidR="002B5A8B" w:rsidRDefault="002B5A8B">
      <w:pPr>
        <w:ind w:left="4248" w:firstLine="708"/>
        <w:jc w:val="both"/>
        <w:rPr>
          <w:rFonts w:ascii="Tahoma" w:hAnsi="Tahoma" w:cs="Tahoma"/>
          <w:sz w:val="18"/>
          <w:szCs w:val="18"/>
        </w:rPr>
      </w:pPr>
    </w:p>
    <w:p w:rsidR="002B5A8B" w:rsidRDefault="00DF6D3A">
      <w:pPr>
        <w:ind w:left="4248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:rsidR="002B5A8B" w:rsidRDefault="00DF6D3A">
      <w:pPr>
        <w:tabs>
          <w:tab w:val="left" w:pos="-426"/>
        </w:tabs>
        <w:ind w:left="4956" w:right="-712" w:hanging="283"/>
        <w:rPr>
          <w:rFonts w:ascii="Tahoma" w:hAnsi="Tahoma" w:cs="Tahoma"/>
          <w:i/>
          <w:lang w:eastAsia="x-none"/>
        </w:rPr>
      </w:pPr>
      <w:r>
        <w:rPr>
          <w:rFonts w:ascii="Tahoma" w:hAnsi="Tahoma" w:cs="Tahoma"/>
          <w:i/>
          <w:sz w:val="14"/>
          <w:szCs w:val="18"/>
        </w:rPr>
        <w:tab/>
      </w:r>
      <w:r>
        <w:rPr>
          <w:rFonts w:ascii="Tahoma" w:hAnsi="Tahoma" w:cs="Tahoma"/>
          <w:i/>
          <w:sz w:val="14"/>
          <w:szCs w:val="18"/>
        </w:rPr>
        <w:tab/>
        <w:t>/Podpis osoby/osób upoważnionej do występowania w imieniu wykonawcy/(czytelny podpis albo podpis i pieczątka z imieniem i nazwiskiem)</w:t>
      </w:r>
    </w:p>
    <w:p w:rsidR="002B5A8B" w:rsidRDefault="002B5A8B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2B5A8B" w:rsidRDefault="002B5A8B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2B5A8B" w:rsidRDefault="002B5A8B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2B5A8B" w:rsidRDefault="002B5A8B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DB3F42" w:rsidRDefault="00DB3F42">
      <w:pPr>
        <w:widowControl w:val="0"/>
        <w:spacing w:before="120"/>
        <w:jc w:val="both"/>
        <w:rPr>
          <w:rFonts w:ascii="Arial" w:hAnsi="Arial"/>
          <w:b/>
          <w:bCs/>
          <w:u w:val="single"/>
        </w:rPr>
      </w:pPr>
    </w:p>
    <w:p w:rsidR="002B5A8B" w:rsidRDefault="00DB3F42" w:rsidP="00DB3F42">
      <w:pPr>
        <w:pStyle w:val="Nagwek3"/>
        <w:numPr>
          <w:ilvl w:val="2"/>
          <w:numId w:val="4"/>
        </w:numPr>
        <w:rPr>
          <w:bCs/>
        </w:rPr>
      </w:pPr>
      <w:r>
        <w:lastRenderedPageBreak/>
        <w:t>CZĘŚĆ NR 3</w:t>
      </w:r>
      <w:r w:rsidR="00DF6D3A" w:rsidRPr="00DB3F42">
        <w:rPr>
          <w:bCs/>
        </w:rPr>
        <w:t>: oprogramowanie do wykonywania kopii bezpieczeństwa maszyn wirtualnych – 3 szt. (licencja obejmująca 3 serwery 2-procesorowe).</w:t>
      </w:r>
    </w:p>
    <w:p w:rsidR="00DB3F42" w:rsidRDefault="00DB3F42" w:rsidP="00DB3F42">
      <w:pPr>
        <w:rPr>
          <w:rFonts w:hint="eastAsia"/>
          <w:lang w:eastAsia="pl-PL"/>
        </w:rPr>
      </w:pPr>
    </w:p>
    <w:p w:rsidR="00DB3F42" w:rsidRDefault="00DB3F42" w:rsidP="00DB3F42">
      <w:pPr>
        <w:ind w:left="11"/>
        <w:jc w:val="both"/>
        <w:rPr>
          <w:rFonts w:ascii="Arial" w:eastAsiaTheme="majorEastAsia" w:hAnsi="Arial"/>
          <w:b/>
          <w:bCs/>
        </w:rPr>
      </w:pPr>
      <w:r>
        <w:rPr>
          <w:rFonts w:ascii="Arial" w:eastAsiaTheme="majorEastAsia" w:hAnsi="Arial"/>
          <w:b/>
          <w:bCs/>
        </w:rPr>
        <w:t>Nazwa producenta oferowanego oprogramowania: ………………………………………</w:t>
      </w:r>
    </w:p>
    <w:p w:rsidR="00DB3F42" w:rsidRPr="00DB3F42" w:rsidRDefault="00DB3F42" w:rsidP="00DB3F42">
      <w:pPr>
        <w:rPr>
          <w:rFonts w:hint="eastAsia"/>
          <w:lang w:eastAsia="pl-PL"/>
        </w:rPr>
      </w:pPr>
    </w:p>
    <w:tbl>
      <w:tblPr>
        <w:tblW w:w="1043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759"/>
        <w:gridCol w:w="8671"/>
      </w:tblGrid>
      <w:tr w:rsidR="002B5A8B" w:rsidTr="00DB3F42">
        <w:trPr>
          <w:trHeight w:val="360"/>
          <w:jc w:val="center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Komponent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Minimalne wymagania</w:t>
            </w:r>
          </w:p>
        </w:tc>
      </w:tr>
      <w:tr w:rsidR="002B5A8B" w:rsidTr="00DB3F42">
        <w:trPr>
          <w:trHeight w:val="835"/>
          <w:jc w:val="center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pacing w:before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Wymagania ogólne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numPr>
                <w:ilvl w:val="0"/>
                <w:numId w:val="5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współpracować z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instrastrukturą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w wersjach 5.x i 6.x oraz Microsoft Hyper-V 2012, 2012 R2, 2016 i 2019. Wszystkie funkcjonalności w specyfikacji muszą być dostępne na wszystkich wspieranych platformach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wirtualizacyjnych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, chyba, że wyszczególniono inaczej</w:t>
            </w:r>
          </w:p>
          <w:p w:rsidR="002B5A8B" w:rsidRDefault="00DF6D3A">
            <w:pPr>
              <w:numPr>
                <w:ilvl w:val="0"/>
                <w:numId w:val="5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wpółpracować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z hostami zarządzanymi przez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vCenter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oraz pojedynczymi hostami.</w:t>
            </w:r>
          </w:p>
          <w:p w:rsidR="002B5A8B" w:rsidRDefault="00DF6D3A">
            <w:pPr>
              <w:numPr>
                <w:ilvl w:val="0"/>
                <w:numId w:val="5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wpółpracować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z hostami zarządzanymi przez System Center Virtual Machine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Manger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, klastrami hostów oraz pojedynczymi hostami.</w:t>
            </w:r>
          </w:p>
          <w:p w:rsidR="002B5A8B" w:rsidRDefault="00DF6D3A">
            <w:pPr>
              <w:numPr>
                <w:ilvl w:val="0"/>
                <w:numId w:val="5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zapewniać tworzenie kopii zapasowych wszystkich systemów operacyjnych maszyn wirtualnych wspieranych przez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vSphere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 Hyper-V</w:t>
            </w:r>
          </w:p>
          <w:p w:rsidR="002B5A8B" w:rsidRDefault="002B5A8B">
            <w:pPr>
              <w:tabs>
                <w:tab w:val="left" w:pos="39"/>
              </w:tabs>
              <w:spacing w:before="120"/>
              <w:ind w:hanging="36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5A8B" w:rsidTr="00DB3F42">
        <w:trPr>
          <w:trHeight w:val="835"/>
          <w:jc w:val="center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pacing w:before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Całkowite koszty posiadania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być licencjonowanie w modelu “per-CPU”. Wszystkie funkcjonalności zawarte w tym dokumencie powinny być zapewnione w tej licencji. Jakiekolwiek dodatkowe licencjonowanie (per zabezpieczony TB, dodatkowo płatna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deduplikacja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) nie jest dozwolone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być niezależne sprzętowo i umożliwiać wykorzystanie dowolnej platformy serwerowej i dyskowej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tworzyć “samowystarczalne” archiwa do odzyskania których nie wymagana jest osobna baza danych z metadanymi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deduplikowanych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bloków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mieć mechanizmy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deduplikacji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 kompresji w celu zmniejszenia wielkości archiwów. Włączenie tych mechanizmów nie może skutkować utratą jakichkolwiek funkcjonalności wymienionych w tej specyfikacji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nie może przechowywać danych o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deduplikacji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w centralnej bazie. Utrata bazy danych używanej przez oprogramowanie nie może prowadzić do utraty możliwości odtworzenia backupu. Metadane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deduplikacji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muszą być przechowywane w plikach backupu.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nie może instalować żadnych stałych agentów wymagających wdrożenia czy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upgradowania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wewnątrz maszyny wirtualnej dla jakichkolwiek funkcjonalności backupu lub odtwarzania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zapewniać backup jednoprzebiegowy - nawet w przypadku wymagania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granularnego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odtworzenia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zapewniać mechanizmy informowania o wykonaniu/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błedzie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zadania poprzez email lub SNMP. W środowisku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musi mieć możliwość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akutalizacji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pola „notatki” na wirtualnej maszynie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mieć możliwość uruchamiania dowolnych skryptów przed i po zadaniu backupowym lub przed i po wykonaniu zadania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snapshota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w środowisku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. 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mieć wbudowane mechanizmy backupu konfiguracji w celu prostego odtworzenia systemu po całkowitej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reinstalacji</w:t>
            </w:r>
            <w:proofErr w:type="spellEnd"/>
            <w:r>
              <w:rPr>
                <w:rFonts w:ascii="Arial" w:hAnsi="Arial"/>
                <w:color w:val="000000"/>
              </w:rPr>
              <w:t>.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mieć wbudowane mechanizmy szyfrowania zarówno plików z backupami jak i transmisji sieciowej. Włączenie szyfrowania nie może skutkować utratą jakiejkolwiek funkcjonalności wymienionej w tej specyfikacji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wspierać backup maszyn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wirtualych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używających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wpółdzielonych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dysków VHDX na Hyper-V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shared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VHDX)</w:t>
            </w:r>
          </w:p>
          <w:p w:rsidR="002B5A8B" w:rsidRDefault="00DF6D3A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posiadać architekturę klient/serwer z możliwością instalacji wielu instancji konsoli administracyjnych.</w:t>
            </w:r>
          </w:p>
          <w:p w:rsidR="002B5A8B" w:rsidRDefault="002B5A8B">
            <w:pPr>
              <w:tabs>
                <w:tab w:val="left" w:pos="39"/>
              </w:tabs>
              <w:spacing w:before="120"/>
              <w:ind w:hanging="36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5A8B" w:rsidTr="00DB3F42">
        <w:trPr>
          <w:trHeight w:val="835"/>
          <w:jc w:val="center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pacing w:before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Wymagania RPO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wykorzystywać mechanizmy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Change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Block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Tracking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na wszystkich wspieranych platformach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wirtualizacyjnych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. Mechanizmy muszą być certyfikowane przez dostawcę platformy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wirtualizacyjnej</w:t>
            </w:r>
            <w:proofErr w:type="spellEnd"/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automatycznie wykrywać i usuwać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snapshoty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-sieroty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orphaned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snapshots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), które mogą zakłócić poprawne wykonanie backupu. Proces ten nie może wymagać interakcji administratora</w:t>
            </w:r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wspierać kopiowanie plików na taśmy</w:t>
            </w:r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mieć możliwość wydzielenia osobnej roli typu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server</w:t>
            </w:r>
            <w:proofErr w:type="spellEnd"/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mieć możliwość kopiowania backupów do lokalizacji zdalnej</w:t>
            </w:r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mieć możliwość tworzenia retencji GFS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Grandfather-Father-Son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mieć możliwość replikacji włączonych wirtualnych maszyn bezpośrednio z infrastruktury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vSphere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pomiędzy hostami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ESXi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włączając asynchroniczną replikacją ciągłą. Dodatkowo oprogramowanie musi mieć możliwość użycia plików kopii zapasowych jako źródła replikacji. </w:t>
            </w:r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umożliwiać przechowywanie punktów przywracania dla replik</w:t>
            </w:r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umożliwiać wykorzystanie istniejących w infrastrukturze wirtualnych maszyn jako źródła do dalszej replikacji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replica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seeding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posiadać takie same funkcjonalności replikacji dla Hyper-V</w:t>
            </w:r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wykorzystywać wszystkie oferowane przez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hypervisor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tryby transportu (sieć, hot-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add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LAN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Free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-SAN)</w:t>
            </w:r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dawać możliwość tworzenia backupów ad-hoc z konsoli jak i z klienta webowego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vSphere</w:t>
            </w:r>
            <w:proofErr w:type="spellEnd"/>
          </w:p>
          <w:p w:rsidR="002B5A8B" w:rsidRDefault="00DF6D3A">
            <w:pPr>
              <w:numPr>
                <w:ilvl w:val="0"/>
                <w:numId w:val="7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przetwarzać wiele wirtualnych dysków jednocześnie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parallel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processing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) </w:t>
            </w:r>
          </w:p>
          <w:p w:rsidR="002B5A8B" w:rsidRDefault="002B5A8B">
            <w:pPr>
              <w:tabs>
                <w:tab w:val="left" w:pos="39"/>
              </w:tabs>
              <w:spacing w:before="120"/>
              <w:ind w:hanging="36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5A8B" w:rsidTr="00DB3F42">
        <w:trPr>
          <w:trHeight w:val="835"/>
          <w:jc w:val="center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pacing w:before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>Wymagania RTO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numPr>
                <w:ilvl w:val="0"/>
                <w:numId w:val="8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umożliwić uruchomienie wielu maszyn wirtualnych bezpośrednio ze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zdeduplikowanego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 skompresowanego pliku backupu, z dowolnego punktu przywracania, bez potrzeby kopiowania jej na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storage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produkcyjny. Funkcjonalność musi być oferowana niezależnie od rodzaju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storage’u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użytego do przechowywania kopii zapasowych. Dla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srodowiska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vSphere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powinien być wykorzystany wbudowany w oprogramowanie serwer NFS. Dla Hyper-V powinna być zapewniona taka sama funkcjonalność realizowana wewnętrznymi mechanizmami oprogramowania</w:t>
            </w:r>
          </w:p>
          <w:p w:rsidR="002B5A8B" w:rsidRDefault="00DF6D3A">
            <w:pPr>
              <w:numPr>
                <w:ilvl w:val="0"/>
                <w:numId w:val="8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pozwalać na migrację on-line tak uruchomionych maszyn na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storage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produkcyjny. Migracja powinna odbywać się mechanizmami wbudowanymi w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hypervisor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Jezeli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licencja na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hypervisor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nie posiada takich funkcjonalności - oprogramowanie musi realizować jaką migrację swoimi mechanizmami</w:t>
            </w:r>
          </w:p>
          <w:p w:rsidR="002B5A8B" w:rsidRDefault="00DF6D3A">
            <w:pPr>
              <w:numPr>
                <w:ilvl w:val="0"/>
                <w:numId w:val="8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umożliwiać pełne odtworzenie wirtualnej maszyny, plików konfiguracji i dysków</w:t>
            </w:r>
          </w:p>
          <w:p w:rsidR="002B5A8B" w:rsidRDefault="00DF6D3A">
            <w:pPr>
              <w:numPr>
                <w:ilvl w:val="0"/>
                <w:numId w:val="8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umożliwić odtworzenie plików na maszynę operatora, lub na serwer produkcyjny bez potrzeby użycia agenta instalowanego wewnątrz wirtualnej maszyny. Funkcjonalność ta nie powinna być ograniczona wielkością i liczbą przywracanych plików</w:t>
            </w:r>
          </w:p>
          <w:p w:rsidR="002B5A8B" w:rsidRDefault="00DF6D3A">
            <w:pPr>
              <w:numPr>
                <w:ilvl w:val="0"/>
                <w:numId w:val="8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mieć możliwość odtworzenia plików przy pomocy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VIX API</w:t>
            </w:r>
          </w:p>
          <w:p w:rsidR="002B5A8B" w:rsidRDefault="00DF6D3A">
            <w:pPr>
              <w:numPr>
                <w:ilvl w:val="0"/>
                <w:numId w:val="8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wspierać odtwarzanie plików z następujących systemów plików:</w:t>
            </w:r>
          </w:p>
          <w:p w:rsidR="002B5A8B" w:rsidRDefault="00DF6D3A">
            <w:pPr>
              <w:numPr>
                <w:ilvl w:val="1"/>
                <w:numId w:val="9"/>
              </w:numPr>
              <w:rPr>
                <w:rFonts w:hint="eastAsia"/>
                <w:lang w:val="en-GB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GB"/>
              </w:rPr>
              <w:t xml:space="preserve">Linux: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ext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, ext2, ext3, ext4,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ReiserFS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(Reiser3), JFS, XFS,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Btrfs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2B5A8B" w:rsidRDefault="00DF6D3A">
            <w:pPr>
              <w:numPr>
                <w:ilvl w:val="1"/>
                <w:numId w:val="9"/>
              </w:num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BSD: UFS, UFS2 </w:t>
            </w:r>
          </w:p>
          <w:p w:rsidR="002B5A8B" w:rsidRDefault="00DF6D3A">
            <w:pPr>
              <w:numPr>
                <w:ilvl w:val="1"/>
                <w:numId w:val="9"/>
              </w:num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Solaris: ZFS </w:t>
            </w:r>
          </w:p>
          <w:p w:rsidR="002B5A8B" w:rsidRDefault="00DF6D3A">
            <w:pPr>
              <w:numPr>
                <w:ilvl w:val="1"/>
                <w:numId w:val="9"/>
              </w:num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Mac: HFS, HFS+ </w:t>
            </w:r>
          </w:p>
          <w:p w:rsidR="002B5A8B" w:rsidRDefault="00DF6D3A">
            <w:pPr>
              <w:numPr>
                <w:ilvl w:val="1"/>
                <w:numId w:val="9"/>
              </w:num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Windows: NTFS, FAT, FAT32,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ReFS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  <w:p w:rsidR="002B5A8B" w:rsidRDefault="00DF6D3A">
            <w:pPr>
              <w:numPr>
                <w:ilvl w:val="0"/>
                <w:numId w:val="10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wspierać przywracanie plików z partycji Linux LVM</w:t>
            </w:r>
          </w:p>
          <w:p w:rsidR="002B5A8B" w:rsidRDefault="00DF6D3A">
            <w:pPr>
              <w:numPr>
                <w:ilvl w:val="0"/>
                <w:numId w:val="10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umożliwiać szybkie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granularne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odtwarzanie obiektów aplikacji bez użycia jakiegokolwiek agenta zainstalowanego wewnątrz maszyny wirtualnej.</w:t>
            </w:r>
          </w:p>
          <w:p w:rsidR="002B5A8B" w:rsidRDefault="00DF6D3A">
            <w:pPr>
              <w:numPr>
                <w:ilvl w:val="0"/>
                <w:numId w:val="10"/>
              </w:numPr>
              <w:spacing w:before="120"/>
              <w:contextualSpacing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wspierać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granularne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odtwarzanie dowolnych obiektów i dowolnych atrybutów Active Directory włączając hasło, obiekty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Policy, partycja konfiguracji AD, rekordy DNS zintegrowane z AD.</w:t>
            </w:r>
          </w:p>
          <w:p w:rsidR="002B5A8B" w:rsidRDefault="00DF6D3A">
            <w:pPr>
              <w:numPr>
                <w:ilvl w:val="0"/>
                <w:numId w:val="10"/>
              </w:numPr>
              <w:spacing w:before="120"/>
              <w:contextualSpacing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wspierać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granularne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odtwarzanie Microsoft SQL 2005 i nowsze.  </w:t>
            </w:r>
          </w:p>
          <w:p w:rsidR="002B5A8B" w:rsidRDefault="00DF6D3A">
            <w:pPr>
              <w:numPr>
                <w:ilvl w:val="0"/>
                <w:numId w:val="10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Funkcjonalność ta nie może wymagać pełnego odtworzenia wirtualnej maszyny ani jej uruchomienia.</w:t>
            </w:r>
          </w:p>
          <w:p w:rsidR="002B5A8B" w:rsidRDefault="00DF6D3A">
            <w:pPr>
              <w:numPr>
                <w:ilvl w:val="0"/>
                <w:numId w:val="10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Oprogramowanie musi indeksować pliki Windows i Linux w celu szybkiego wyszukiwania plików w plikach backupowych.</w:t>
            </w:r>
          </w:p>
          <w:p w:rsidR="002B5A8B" w:rsidRDefault="00DF6D3A">
            <w:pPr>
              <w:numPr>
                <w:ilvl w:val="0"/>
                <w:numId w:val="10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Oprogramowanie musi używać mechanizmów VSS wbudowanych w system operacyjny Microsoft Windows </w:t>
            </w:r>
          </w:p>
          <w:p w:rsidR="002B5A8B" w:rsidRDefault="002B5A8B">
            <w:pPr>
              <w:numPr>
                <w:ilvl w:val="0"/>
                <w:numId w:val="10"/>
              </w:numPr>
              <w:spacing w:before="120"/>
              <w:contextualSpacing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2B5A8B" w:rsidRDefault="002B5A8B">
            <w:pPr>
              <w:tabs>
                <w:tab w:val="left" w:pos="39"/>
              </w:tabs>
              <w:spacing w:before="120"/>
              <w:ind w:hanging="36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2B5A8B" w:rsidTr="00DB3F42">
        <w:trPr>
          <w:trHeight w:val="835"/>
          <w:jc w:val="center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pacing w:before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>Monitoring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numPr>
                <w:ilvl w:val="0"/>
                <w:numId w:val="11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zapewnić możliwość monitorowania środowiska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wirtualizacyjnego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opartego na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vSphere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 Microsoft Hyper-V bez potrzeby korzystania z narzędzi firm trzecich</w:t>
            </w:r>
          </w:p>
          <w:p w:rsidR="002B5A8B" w:rsidRDefault="00DF6D3A">
            <w:pPr>
              <w:numPr>
                <w:ilvl w:val="0"/>
                <w:numId w:val="11"/>
              </w:numPr>
              <w:spacing w:before="120" w:after="200" w:line="276" w:lineRule="auto"/>
              <w:contextualSpacing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umożliwiać monitorowanie środowiska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wirtualizacyjnego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w wersji 5.x oraz 6.x – zarówno w bezpłatnej wersji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ESXi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jak i w pełnej wersji ESX/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ESXi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zarządzane przez konsole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vCenter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Server lub pracujące samodzielnie</w:t>
            </w:r>
          </w:p>
          <w:p w:rsidR="002B5A8B" w:rsidRDefault="00DF6D3A">
            <w:pPr>
              <w:numPr>
                <w:ilvl w:val="0"/>
                <w:numId w:val="11"/>
              </w:numPr>
              <w:spacing w:before="120" w:after="200" w:line="276" w:lineRule="auto"/>
              <w:contextualSpacing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umożliwiać monitorowanie środowiska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wirtualizacyjnego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Microsoft Hyper-V 2008 R2 SP1, 2012, 2012 R2, 2016 oraz 2019 zarówno w wersji darmowej jak i zawartej w płatnej licencji Microsoft Server zarządzane poprzez System Center Virtual Machine Manager lub pracujące samodzielnie.</w:t>
            </w:r>
          </w:p>
          <w:p w:rsidR="002B5A8B" w:rsidRDefault="00DF6D3A">
            <w:pPr>
              <w:numPr>
                <w:ilvl w:val="0"/>
                <w:numId w:val="11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status „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Ready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” i być przetestowany i certyfikowany przez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</w:p>
          <w:p w:rsidR="002B5A8B" w:rsidRDefault="00DF6D3A">
            <w:pPr>
              <w:numPr>
                <w:ilvl w:val="0"/>
                <w:numId w:val="11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mieć możliwość instalacji na systemach operacyjnych w wersjach 64 bitowych: </w:t>
            </w:r>
          </w:p>
          <w:p w:rsidR="002B5A8B" w:rsidRDefault="00DF6D3A">
            <w:pPr>
              <w:numPr>
                <w:ilvl w:val="1"/>
                <w:numId w:val="12"/>
              </w:numPr>
              <w:spacing w:before="120" w:after="19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 xml:space="preserve">Microsoft Windows 2008 SP2 </w:t>
            </w:r>
          </w:p>
          <w:p w:rsidR="002B5A8B" w:rsidRDefault="00DF6D3A">
            <w:pPr>
              <w:numPr>
                <w:ilvl w:val="1"/>
                <w:numId w:val="12"/>
              </w:numPr>
              <w:spacing w:before="120" w:after="19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 xml:space="preserve">Microsoft Windows 2008 R2 SP1 </w:t>
            </w:r>
          </w:p>
          <w:p w:rsidR="002B5A8B" w:rsidRDefault="00DF6D3A">
            <w:pPr>
              <w:numPr>
                <w:ilvl w:val="1"/>
                <w:numId w:val="12"/>
              </w:numPr>
              <w:spacing w:before="120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Microsoft Windows 2012</w:t>
            </w:r>
          </w:p>
          <w:p w:rsidR="002B5A8B" w:rsidRDefault="00DF6D3A">
            <w:pPr>
              <w:numPr>
                <w:ilvl w:val="1"/>
                <w:numId w:val="12"/>
              </w:numPr>
              <w:spacing w:before="120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Microsoft Windows 2012 R2</w:t>
            </w:r>
          </w:p>
          <w:p w:rsidR="002B5A8B" w:rsidRDefault="00DF6D3A">
            <w:pPr>
              <w:numPr>
                <w:ilvl w:val="1"/>
                <w:numId w:val="12"/>
              </w:numPr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Microsoft Windows 2016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Microsoft Windows 2019</w:t>
            </w: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umożliwiać kategoryzacje obiektów infrastruktury wirtualnej niezależnie od hierarchii stworzonej w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vCenter</w:t>
            </w:r>
            <w:proofErr w:type="spellEnd"/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umożliwiać tworzenie alarmów dla całych grup wirtualnych maszyn jak i pojedynczych wirtualnych maszyn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dawać możliwość układania terminarza raportów i wysyłania tych raportów przy pomocy poczty elektronicznej w formacie HTML oraz Excel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dawać możliwość podłączenia się do kilku instancji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vCenter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Server i serwerów Hyper-V  jednocześnie, w celu centralnego monitorowania wielu środowisk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Silnik raportowania powinien być oparty o SQL Server Reporting Services w celu zapewnienia bezpiecznego dostępu do raportów dla wielu użytkowników z uwzględnieniem ról, jakie pełnią w organizacji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wbudowane predefiniowane zestawy alarmów wraz z możliwością tworzenia własnych alarmów i zdarzeń przez administratora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wbudowane połączenie z bazą wiedzy opisującą problemy z predefiniowanych alarmów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centralną konsolę z sumarycznym podglądem wszystkich obiektów infrastruktury wirtualnej (ang. Dashboard)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monitorowania platformy sprzętowej, na której jest zainstalowana infrastruktura wirtualna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zapewnić możliwość podłączenia się do wirtualnej maszyny (tryb konsoli) bezpośrednio z narzędzia monitorującego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integracji z oprogramowaniem do tworzenia kopii zapasowych tego samego producenta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mieć możliwość monitorowania obciążenia serwerów backupowych, ilości zabezpieczanych danych oraz statusu zadań kopii zapasowych, replikacji oraz weryfikacji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odzyskiwalności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maszyn wirtualnych.</w:t>
            </w:r>
          </w:p>
          <w:p w:rsidR="002B5A8B" w:rsidRDefault="00DF6D3A">
            <w:pPr>
              <w:numPr>
                <w:ilvl w:val="0"/>
                <w:numId w:val="13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mieć możliwość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granularnego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monitorowania infrastruktury, zależnego od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uprawnień nadanym użytkownikom dla platformy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</w:p>
        </w:tc>
      </w:tr>
      <w:tr w:rsidR="002B5A8B" w:rsidTr="00DB3F42">
        <w:trPr>
          <w:trHeight w:val="835"/>
          <w:jc w:val="center"/>
        </w:trPr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spacing w:before="12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>Raportowanie</w:t>
            </w:r>
          </w:p>
        </w:tc>
        <w:tc>
          <w:tcPr>
            <w:tcW w:w="8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numPr>
                <w:ilvl w:val="0"/>
                <w:numId w:val="14"/>
              </w:numPr>
              <w:spacing w:before="120" w:after="200" w:line="276" w:lineRule="auto"/>
              <w:contextualSpacing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raportowania musi umożliwić tworzenie raportów z infrastruktury wirtualnej bazującej na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ESX/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ESXi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5.x oraz 6.x,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vCenter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Server 5.x oraz 6.x jak również Microsoft Hyper-V 2008 R2 SP1, 2012, 2012 R2, 2016 oraz 2019.</w:t>
            </w:r>
          </w:p>
          <w:p w:rsidR="002B5A8B" w:rsidRDefault="00DF6D3A">
            <w:pPr>
              <w:numPr>
                <w:ilvl w:val="0"/>
                <w:numId w:val="14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wspierać wiele instancji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vCenter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Server i Microsoft Hyper-V jednocześnie bez konieczności instalowania dodatkowych modułów.</w:t>
            </w:r>
          </w:p>
          <w:p w:rsidR="002B5A8B" w:rsidRDefault="00DF6D3A">
            <w:pPr>
              <w:numPr>
                <w:ilvl w:val="0"/>
                <w:numId w:val="14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być certyfikowany przez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 posiadać status „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Ready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”</w:t>
            </w:r>
          </w:p>
          <w:p w:rsidR="002B5A8B" w:rsidRDefault="00DF6D3A">
            <w:pPr>
              <w:numPr>
                <w:ilvl w:val="0"/>
                <w:numId w:val="14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instalować się na następujących systemach operacyjnych:</w:t>
            </w:r>
          </w:p>
          <w:p w:rsidR="002B5A8B" w:rsidRDefault="00DF6D3A">
            <w:pPr>
              <w:numPr>
                <w:ilvl w:val="1"/>
                <w:numId w:val="12"/>
              </w:numPr>
              <w:spacing w:before="120" w:after="19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 xml:space="preserve">Microsoft Windows 2008 SP2 </w:t>
            </w:r>
          </w:p>
          <w:p w:rsidR="002B5A8B" w:rsidRDefault="00DF6D3A">
            <w:pPr>
              <w:numPr>
                <w:ilvl w:val="1"/>
                <w:numId w:val="12"/>
              </w:numPr>
              <w:spacing w:before="120" w:after="19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 xml:space="preserve">Microsoft Windows 2008 R2 SP1 </w:t>
            </w:r>
          </w:p>
          <w:p w:rsidR="002B5A8B" w:rsidRDefault="00DF6D3A">
            <w:pPr>
              <w:numPr>
                <w:ilvl w:val="1"/>
                <w:numId w:val="12"/>
              </w:numPr>
              <w:spacing w:before="120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Microsoft Windows 2012 R2</w:t>
            </w:r>
          </w:p>
          <w:p w:rsidR="002B5A8B" w:rsidRDefault="00DF6D3A">
            <w:pPr>
              <w:numPr>
                <w:ilvl w:val="1"/>
                <w:numId w:val="12"/>
              </w:numPr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Microsoft Windows 2016</w:t>
            </w:r>
          </w:p>
          <w:p w:rsidR="002B5A8B" w:rsidRDefault="00DF6D3A">
            <w:pPr>
              <w:numPr>
                <w:ilvl w:val="1"/>
                <w:numId w:val="12"/>
              </w:numPr>
              <w:spacing w:before="12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Microsoft Windows 2019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do prezentacji raportów powinien używać SQL Server Reporting Services w celu jednoczesnego dostępu do raportów wielu użytkowników z określonymi przez administrator systemu uprawnieniami.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być systemem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bezagentowym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. Nie dopuszcza się możliwości instalowania przez system agentów na monitorowanych hostach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ESXi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 Hyper-V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eksportowania raportów do formatów Microsoft Word, Microsoft Excel, Microsoft Visio, Adobe PDF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ustawienia harmonogramu kolekcji danych z monitorowanych systemów jak również możliwość tworzenia zadań kolekcjonowania danych ad-hoc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ustawienia harmonogramu generowania raportów i dostarczania ich do odbiorców w określonych przez administratora interwałach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Minimalny interwał czasowy dla zadań kolekcjonowania i raportowania musi wynosić min 1 godzinę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w raportach musi mieć możliwość uwzględniania informacji o zmianach konfiguracji monitorowanych systemów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generowania raportów z dowolnego punktu w czasie zakładając, że informacje z tego czasu nie zostały usunięte z bazy danych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posiadać predefiniowane szablony z możliwością tworzenia nowych jak i modyfikacji wbudowanych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analizowania „przeszacowanych” wirtualnych maszyn wraz z sugestią zmian w celu optymalnego wykorzystania fizycznej infrastruktury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generowania raportów na podstawie danych uzyskanych z oprogramowania do tworzenia kopii zapasowych tego samego producenta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 w:after="200" w:line="276" w:lineRule="auto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generowania raportu dotyczącego zabezpieczanych maszyn wirtualnych, zdefiniowanych zadań tworzenia kopii zapasowych oraz replikacji jak również wykorzystania zasobów serwerów backupowych.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generowania raportu planowania pojemności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capacity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planning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).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System musi mieć możliwość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granularnego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raportowania infrastruktury, zależnego od uprawnień nadanym użytkownikom dla platformy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VMware</w:t>
            </w:r>
            <w:proofErr w:type="spellEnd"/>
          </w:p>
          <w:p w:rsidR="002B5A8B" w:rsidRDefault="00DF6D3A">
            <w:pPr>
              <w:numPr>
                <w:ilvl w:val="0"/>
                <w:numId w:val="15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generowania raportów dotyczących tzw. migawek-sierot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orphaned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snapshots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:rsidR="002B5A8B" w:rsidRDefault="00DF6D3A">
            <w:pPr>
              <w:numPr>
                <w:ilvl w:val="0"/>
                <w:numId w:val="15"/>
              </w:numPr>
              <w:spacing w:before="120"/>
              <w:contextualSpacing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System musi mieć możliwość generowania personalizowanych raportów zawierających informacje z dowolnych predefiniowanych raportów w pojedynczym dokumencie</w:t>
            </w:r>
          </w:p>
          <w:p w:rsidR="002B5A8B" w:rsidRDefault="002B5A8B">
            <w:pPr>
              <w:tabs>
                <w:tab w:val="left" w:pos="39"/>
              </w:tabs>
              <w:spacing w:before="120"/>
              <w:ind w:hanging="36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2B5A8B" w:rsidRDefault="002B5A8B">
      <w:pPr>
        <w:pStyle w:val="Nagwek3"/>
        <w:numPr>
          <w:ilvl w:val="2"/>
          <w:numId w:val="2"/>
        </w:numPr>
        <w:rPr>
          <w:rFonts w:eastAsiaTheme="majorEastAsia" w:cs="Tahoma"/>
          <w:bCs/>
        </w:rPr>
      </w:pPr>
      <w:bookmarkStart w:id="3" w:name="OLE_LINK5211111111"/>
      <w:bookmarkStart w:id="4" w:name="OLE_LINK5111111111"/>
      <w:bookmarkEnd w:id="3"/>
      <w:bookmarkEnd w:id="4"/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DF6D3A">
      <w:pPr>
        <w:ind w:left="4248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:rsidR="002B5A8B" w:rsidRDefault="00DF6D3A">
      <w:pPr>
        <w:tabs>
          <w:tab w:val="left" w:pos="-426"/>
        </w:tabs>
        <w:ind w:left="4956" w:right="-712" w:hanging="283"/>
        <w:rPr>
          <w:rFonts w:ascii="Tahoma" w:hAnsi="Tahoma" w:cs="Tahoma"/>
          <w:i/>
          <w:lang w:eastAsia="x-none"/>
        </w:rPr>
      </w:pPr>
      <w:r>
        <w:rPr>
          <w:rFonts w:ascii="Tahoma" w:hAnsi="Tahoma" w:cs="Tahoma"/>
          <w:i/>
          <w:sz w:val="14"/>
          <w:szCs w:val="18"/>
        </w:rPr>
        <w:tab/>
      </w:r>
      <w:r>
        <w:rPr>
          <w:rFonts w:ascii="Tahoma" w:hAnsi="Tahoma" w:cs="Tahoma"/>
          <w:i/>
          <w:sz w:val="14"/>
          <w:szCs w:val="18"/>
        </w:rPr>
        <w:tab/>
        <w:t>/Podpis osoby/osób upoważnionej do występowania w imieniu wykonawcy/(czytelny podpis albo podpis i pieczątka z imieniem i nazwiskiem)</w:t>
      </w: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2B5A8B">
      <w:pPr>
        <w:pStyle w:val="Nagwek3"/>
        <w:numPr>
          <w:ilvl w:val="0"/>
          <w:numId w:val="0"/>
        </w:numPr>
      </w:pPr>
    </w:p>
    <w:p w:rsidR="002B5A8B" w:rsidRDefault="002B5A8B">
      <w:pPr>
        <w:rPr>
          <w:rFonts w:hint="eastAsia"/>
          <w:lang w:eastAsia="pl-PL"/>
        </w:rPr>
      </w:pPr>
    </w:p>
    <w:p w:rsidR="00DB3F42" w:rsidRDefault="00DB3F42">
      <w:pPr>
        <w:rPr>
          <w:rFonts w:hint="eastAsia"/>
          <w:lang w:eastAsia="pl-PL"/>
        </w:rPr>
      </w:pPr>
    </w:p>
    <w:p w:rsidR="002B5A8B" w:rsidRDefault="00DB3F42" w:rsidP="00DB3F42">
      <w:pPr>
        <w:pStyle w:val="Nagwek3"/>
        <w:numPr>
          <w:ilvl w:val="2"/>
          <w:numId w:val="4"/>
        </w:numPr>
      </w:pPr>
      <w:r>
        <w:lastRenderedPageBreak/>
        <w:t>CZĘŚĆ NR 4</w:t>
      </w:r>
      <w:r w:rsidR="00DF6D3A" w:rsidRPr="00DB3F42">
        <w:rPr>
          <w:rFonts w:eastAsiaTheme="majorEastAsia" w:cs="Arial"/>
          <w:bCs/>
          <w:szCs w:val="24"/>
        </w:rPr>
        <w:t xml:space="preserve">: </w:t>
      </w:r>
      <w:r w:rsidR="00DF6D3A" w:rsidRPr="00DB3F42">
        <w:rPr>
          <w:rFonts w:eastAsiaTheme="majorEastAsia" w:cs="Tahoma"/>
          <w:szCs w:val="24"/>
        </w:rPr>
        <w:t>Licencja oprogramowania systemu operacyjnego Microsoft Windows Server 2016 Standard w polskiej wersji językowej lub produkt równoważny:</w:t>
      </w:r>
    </w:p>
    <w:p w:rsidR="002B5A8B" w:rsidRDefault="00DF6D3A">
      <w:pPr>
        <w:ind w:left="11"/>
        <w:jc w:val="both"/>
        <w:rPr>
          <w:rFonts w:hint="eastAsia"/>
        </w:rPr>
      </w:pPr>
      <w:r>
        <w:rPr>
          <w:rFonts w:ascii="Arial" w:eastAsiaTheme="majorEastAsia" w:hAnsi="Arial" w:cs="Tahoma"/>
          <w:b/>
          <w:bCs/>
        </w:rPr>
        <w:t>2 licencje</w:t>
      </w:r>
      <w:r>
        <w:rPr>
          <w:rFonts w:ascii="Arial" w:eastAsiaTheme="majorEastAsia" w:hAnsi="Arial" w:cs="Tahoma"/>
          <w:bCs/>
        </w:rPr>
        <w:t xml:space="preserve"> oprogramowania dla instytucji edukacyjnych. </w:t>
      </w:r>
    </w:p>
    <w:p w:rsidR="002B5A8B" w:rsidRDefault="00DF6D3A">
      <w:pPr>
        <w:ind w:left="11"/>
        <w:jc w:val="both"/>
        <w:rPr>
          <w:rFonts w:hint="eastAsia"/>
        </w:rPr>
      </w:pPr>
      <w:r>
        <w:rPr>
          <w:rFonts w:ascii="Arial" w:eastAsiaTheme="majorEastAsia" w:hAnsi="Arial" w:cs="Tahoma"/>
          <w:bCs/>
        </w:rPr>
        <w:t>Warunki licencjonowania muszą zezwalać na korzystanie z oprogramowania na dwóch maszynach wirtualnych uruchomionych w środowisku klastra składającego się z 3 fizycznych hostów (wyposażonych w 2 procesory 10-rdzeniowe każdy – w sumie 60 rdzeni) oraz zmianę wersji systemu operacyjnego na niższą z zachowaniem wsparcia technicznego oraz na przeniesienie licencji systemu operacyjnego na inny fizyczny serwer. Licencja bez ograniczeń czasowych.</w:t>
      </w: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p w:rsidR="002B5A8B" w:rsidRDefault="00DF6D3A">
      <w:pPr>
        <w:ind w:left="11"/>
        <w:jc w:val="both"/>
        <w:rPr>
          <w:rFonts w:ascii="Arial" w:eastAsiaTheme="majorEastAsia" w:hAnsi="Arial"/>
          <w:b/>
          <w:bCs/>
        </w:rPr>
      </w:pPr>
      <w:r>
        <w:rPr>
          <w:rFonts w:ascii="Arial" w:eastAsiaTheme="majorEastAsia" w:hAnsi="Arial"/>
          <w:b/>
          <w:bCs/>
        </w:rPr>
        <w:t>Nazwa producenta oferowanej licencji: ………………………………………………………</w:t>
      </w:r>
    </w:p>
    <w:p w:rsidR="002B5A8B" w:rsidRDefault="002B5A8B">
      <w:pPr>
        <w:ind w:left="11"/>
        <w:jc w:val="both"/>
        <w:rPr>
          <w:rFonts w:eastAsiaTheme="majorEastAsia" w:cs="Tahoma"/>
          <w:bCs/>
        </w:rPr>
      </w:pPr>
    </w:p>
    <w:tbl>
      <w:tblPr>
        <w:tblW w:w="9645" w:type="dxa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2B5A8B">
        <w:trPr>
          <w:tblHeader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Warunek równoważności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Współpraca z procesorami o architekturze x86-64.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Instalacja i użytkowanie aplikacji 32-bit. i 64-bit. na dostarczonym systemie operacyjnym.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W ramach dostarczonej licencji zawarta możliwość instalacji oprogramowania na serwerze wyposażonym w 8 rdzeni.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Obsługa 64 procesorów fizycznych oraz co najmniej 64 procesorów logicznych (wirtualnych).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Pojemność obsługiwanej pamięci RAM w ramach jednej instancji systemu operacyjnego - co najmniej 4TB.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Obsługa dostępu wielościeżkowego do zasobów LAN poprzez kontrolery Gigabit Ethernet, w trybie równoważenia obciążenia łącza (</w:t>
            </w:r>
            <w:proofErr w:type="spellStart"/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load</w:t>
            </w:r>
            <w:proofErr w:type="spellEnd"/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balancing</w:t>
            </w:r>
            <w:proofErr w:type="spellEnd"/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) i redundancji łącza (</w:t>
            </w:r>
            <w:proofErr w:type="spellStart"/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failover</w:t>
            </w:r>
            <w:proofErr w:type="spellEnd"/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) – natywnie lub z wykorzystaniem sterowników producenta sprzętu.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Praca w roli klienta domeny Microsoft Active Directory.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Zawarta możliwość uruchomienia roli kontrolera domeny Microsoft Active Directory na poziomie Microsoft Windows Server 2012.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9.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 xml:space="preserve">Zawarta możliwość uruchomienia roli serwera DHCP, w tym funkcji </w:t>
            </w:r>
            <w:proofErr w:type="spellStart"/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klastrowania</w:t>
            </w:r>
            <w:proofErr w:type="spellEnd"/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 xml:space="preserve"> serwera DHCP (możliwość uruchomienia dwóch serwerów DHCP operujących jednocześnie na tej samej puli oferowanych adresów IP).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10.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Zawarta możliwość uruchomienia roli serwera DNS.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11.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Zawarta możliwość uruchomienia roli klienta i serwera czasu (NTP).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12.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Zawarta możliwość uruchomienia roli serwera plików z uwierzytelnieniem i autoryzacją dostępu w domenie Microsoft Active Directory.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13.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Zawarta możliwość uruchomienia roli serwera wydruku z uwierzytelnieniem i autoryzacją dostępu w domenie Microsoft Active Directory.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14.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Zawarta możliwość uruchomienia roli serwera stron WWW.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15.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 xml:space="preserve">W ramach dostarczonej licencji zawarte prawo do użytkowania i dostęp do oprogramowania oferowanego przez producenta systemu operacyjnego umożliwiającego </w:t>
            </w:r>
            <w:proofErr w:type="spellStart"/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wirtualizowanie</w:t>
            </w:r>
            <w:proofErr w:type="spellEnd"/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 xml:space="preserve"> zasobów sprzętowych serwera.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16.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W ramach dostarczonej licencji zawarte prawo do instalacji i użytkowania systemu operacyjnego na co najmniej dwóch maszynach wirtualnych.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17.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W ramach dostarczonej licencji zawarte prawo do pobierania poprawek systemu operacyjnego.</w:t>
            </w:r>
          </w:p>
        </w:tc>
      </w:tr>
      <w:tr w:rsidR="002B5A8B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18.</w:t>
            </w:r>
          </w:p>
        </w:tc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B5A8B" w:rsidRDefault="00DF6D3A">
            <w:pPr>
              <w:jc w:val="both"/>
              <w:rPr>
                <w:rFonts w:hint="eastAsia"/>
              </w:rPr>
            </w:pPr>
            <w:r>
              <w:rPr>
                <w:rFonts w:ascii="Arial" w:eastAsiaTheme="majorEastAsia" w:hAnsi="Arial" w:cs="Tahoma"/>
                <w:bCs/>
                <w:sz w:val="20"/>
                <w:szCs w:val="20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</w:tr>
    </w:tbl>
    <w:p w:rsidR="002B5A8B" w:rsidRDefault="002B5A8B">
      <w:pPr>
        <w:rPr>
          <w:rFonts w:ascii="Arial" w:hAnsi="Arial"/>
        </w:rPr>
      </w:pPr>
    </w:p>
    <w:p w:rsidR="002B5A8B" w:rsidRDefault="00DF6D3A">
      <w:pPr>
        <w:ind w:left="4248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:rsidR="002B5A8B" w:rsidRDefault="00DF6D3A">
      <w:pPr>
        <w:tabs>
          <w:tab w:val="left" w:pos="-426"/>
        </w:tabs>
        <w:ind w:left="4956" w:right="-712" w:hanging="283"/>
        <w:rPr>
          <w:rFonts w:ascii="Tahoma" w:hAnsi="Tahoma" w:cs="Tahoma"/>
          <w:i/>
          <w:lang w:eastAsia="x-none"/>
        </w:rPr>
      </w:pPr>
      <w:r>
        <w:rPr>
          <w:rFonts w:ascii="Tahoma" w:hAnsi="Tahoma" w:cs="Tahoma"/>
          <w:i/>
          <w:sz w:val="14"/>
          <w:szCs w:val="18"/>
        </w:rPr>
        <w:tab/>
      </w:r>
      <w:r>
        <w:rPr>
          <w:rFonts w:ascii="Tahoma" w:hAnsi="Tahoma" w:cs="Tahoma"/>
          <w:i/>
          <w:sz w:val="14"/>
          <w:szCs w:val="18"/>
        </w:rPr>
        <w:tab/>
        <w:t>/Podpis osoby/osób upoważnionej do występowania w imieniu wykonawcy/(czytelny podpis albo podpis i pieczątka z imieniem i nazwiskiem)</w:t>
      </w:r>
    </w:p>
    <w:p w:rsidR="002B5A8B" w:rsidRDefault="002B5A8B">
      <w:pPr>
        <w:rPr>
          <w:rFonts w:hint="eastAsia"/>
        </w:rPr>
      </w:pPr>
    </w:p>
    <w:sectPr w:rsidR="002B5A8B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AFE"/>
    <w:multiLevelType w:val="multilevel"/>
    <w:tmpl w:val="2250B234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61404"/>
    <w:multiLevelType w:val="multilevel"/>
    <w:tmpl w:val="28966756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9141D"/>
    <w:multiLevelType w:val="multilevel"/>
    <w:tmpl w:val="AAF88224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2602F"/>
    <w:multiLevelType w:val="multilevel"/>
    <w:tmpl w:val="736463DE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0C74E1"/>
    <w:multiLevelType w:val="multilevel"/>
    <w:tmpl w:val="7598A6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022191F"/>
    <w:multiLevelType w:val="multilevel"/>
    <w:tmpl w:val="F1086E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67E1DB8"/>
    <w:multiLevelType w:val="multilevel"/>
    <w:tmpl w:val="A50A10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FD1CA2"/>
    <w:multiLevelType w:val="multilevel"/>
    <w:tmpl w:val="4EF2F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000000"/>
        <w:sz w:val="24"/>
        <w:szCs w:val="18"/>
        <w:highlight w:val="yellow"/>
        <w:lang w:val="en-U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color w:val="000000"/>
        <w:sz w:val="18"/>
        <w:szCs w:val="18"/>
        <w:highlight w:val="yellow"/>
        <w:lang w:val="en-U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color w:val="000000"/>
        <w:sz w:val="18"/>
        <w:szCs w:val="18"/>
        <w:highlight w:val="yellow"/>
        <w:lang w:val="en-US"/>
      </w:rPr>
    </w:lvl>
  </w:abstractNum>
  <w:abstractNum w:abstractNumId="8" w15:restartNumberingAfterBreak="0">
    <w:nsid w:val="55C418BC"/>
    <w:multiLevelType w:val="multilevel"/>
    <w:tmpl w:val="12ACBE0E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517D82"/>
    <w:multiLevelType w:val="multilevel"/>
    <w:tmpl w:val="8DCC3E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E1A4E57"/>
    <w:multiLevelType w:val="multilevel"/>
    <w:tmpl w:val="3DFA320E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2D266D1"/>
    <w:multiLevelType w:val="multilevel"/>
    <w:tmpl w:val="667C024A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8BB0F5C"/>
    <w:multiLevelType w:val="multilevel"/>
    <w:tmpl w:val="F0709EE8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F113257"/>
    <w:multiLevelType w:val="multilevel"/>
    <w:tmpl w:val="04CEB7E8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B0B28CE"/>
    <w:multiLevelType w:val="multilevel"/>
    <w:tmpl w:val="4A24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8B"/>
    <w:rsid w:val="002B5A8B"/>
    <w:rsid w:val="00686A60"/>
    <w:rsid w:val="00DB3F42"/>
    <w:rsid w:val="00DF6D3A"/>
    <w:rsid w:val="00F7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5D016-415D-465F-BABD-A88EB583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ascii="Arial" w:eastAsiaTheme="minorEastAsia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4z0">
    <w:name w:val="WW8Num24z0"/>
    <w:qFormat/>
    <w:rPr>
      <w:rFonts w:ascii="Arial" w:eastAsia="Tunga" w:hAnsi="Arial" w:cs="Aria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55z0">
    <w:name w:val="WW8Num55z0"/>
    <w:qFormat/>
    <w:rPr>
      <w:rFonts w:ascii="Arial" w:eastAsia="Tunga" w:hAnsi="Arial" w:cs="Aria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5z3">
    <w:name w:val="WW8Num55z3"/>
    <w:qFormat/>
    <w:rPr>
      <w:rFonts w:ascii="Symbol" w:hAnsi="Symbol" w:cs="Symbol"/>
    </w:rPr>
  </w:style>
  <w:style w:type="character" w:customStyle="1" w:styleId="WW8Num52z0">
    <w:name w:val="WW8Num52z0"/>
    <w:qFormat/>
    <w:rPr>
      <w:rFonts w:ascii="Arial" w:eastAsia="Tunga" w:hAnsi="Arial" w:cs="Aria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2z3">
    <w:name w:val="WW8Num52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Arial" w:eastAsia="Tunga" w:hAnsi="Arial" w:cs="Aria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  <w:color w:val="000000"/>
      <w:sz w:val="18"/>
      <w:szCs w:val="18"/>
      <w:highlight w:val="yellow"/>
      <w:lang w:val="en-US"/>
    </w:rPr>
  </w:style>
  <w:style w:type="character" w:customStyle="1" w:styleId="WW8Num46z0">
    <w:name w:val="WW8Num46z0"/>
    <w:qFormat/>
    <w:rPr>
      <w:rFonts w:ascii="Arial" w:eastAsia="Tunga" w:hAnsi="Arial" w:cs="Aria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66z0">
    <w:name w:val="WW8Num66z0"/>
    <w:qFormat/>
    <w:rPr>
      <w:rFonts w:ascii="Arial" w:eastAsia="Tunga" w:hAnsi="Arial" w:cs="Arial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2">
    <w:name w:val="WW8Num66z2"/>
    <w:qFormat/>
    <w:rPr>
      <w:rFonts w:ascii="Wingdings" w:hAnsi="Wingdings" w:cs="Wingdings"/>
    </w:rPr>
  </w:style>
  <w:style w:type="character" w:customStyle="1" w:styleId="WW8Num66z3">
    <w:name w:val="WW8Num66z3"/>
    <w:qFormat/>
    <w:rPr>
      <w:rFonts w:ascii="Symbol" w:hAnsi="Symbol" w:cs="Symbol"/>
    </w:rPr>
  </w:style>
  <w:style w:type="character" w:customStyle="1" w:styleId="WW8Num61z0">
    <w:name w:val="WW8Num61z0"/>
    <w:qFormat/>
    <w:rPr>
      <w:rFonts w:ascii="Symbol" w:hAnsi="Symbol" w:cs="Symbol"/>
    </w:rPr>
  </w:style>
  <w:style w:type="character" w:customStyle="1" w:styleId="WW8Num61z1">
    <w:name w:val="WW8Num61z1"/>
    <w:qFormat/>
    <w:rPr>
      <w:rFonts w:ascii="Courier New" w:hAnsi="Courier New" w:cs="Courier New"/>
    </w:rPr>
  </w:style>
  <w:style w:type="character" w:customStyle="1" w:styleId="WW8Num61z2">
    <w:name w:val="WW8Num61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Arial" w:eastAsia="Tunga" w:hAnsi="Arial" w:cs="Aria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Arial" w:eastAsia="Tunga" w:hAnsi="Arial" w:cs="Aria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Arial" w:eastAsia="Tunga" w:hAnsi="Arial" w:cs="Aria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64z0">
    <w:name w:val="WW8Num64z0"/>
    <w:qFormat/>
    <w:rPr>
      <w:rFonts w:ascii="Arial" w:eastAsia="Tunga" w:hAnsi="Arial" w:cs="Arial"/>
    </w:rPr>
  </w:style>
  <w:style w:type="character" w:customStyle="1" w:styleId="WW8Num64z1">
    <w:name w:val="WW8Num64z1"/>
    <w:qFormat/>
    <w:rPr>
      <w:rFonts w:ascii="Courier New" w:hAnsi="Courier New" w:cs="Courier New"/>
    </w:rPr>
  </w:style>
  <w:style w:type="character" w:customStyle="1" w:styleId="WW8Num64z2">
    <w:name w:val="WW8Num64z2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Arial" w:eastAsia="Tunga" w:hAnsi="Arial" w:cs="Aria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Arial"/>
      <w:sz w:val="24"/>
    </w:rPr>
  </w:style>
  <w:style w:type="character" w:customStyle="1" w:styleId="ListLabel2">
    <w:name w:val="ListLabel 2"/>
    <w:qFormat/>
    <w:rPr>
      <w:rFonts w:ascii="Arial" w:hAnsi="Arial" w:cs="Arial"/>
      <w:sz w:val="24"/>
    </w:rPr>
  </w:style>
  <w:style w:type="character" w:customStyle="1" w:styleId="ListLabel3">
    <w:name w:val="ListLabel 3"/>
    <w:qFormat/>
    <w:rPr>
      <w:rFonts w:ascii="Arial" w:hAnsi="Arial" w:cs="Arial"/>
      <w:sz w:val="24"/>
    </w:rPr>
  </w:style>
  <w:style w:type="character" w:customStyle="1" w:styleId="ListLabel4">
    <w:name w:val="ListLabel 4"/>
    <w:qFormat/>
    <w:rPr>
      <w:rFonts w:ascii="Arial" w:hAnsi="Arial" w:cs="Arial"/>
      <w:sz w:val="24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ascii="Arial" w:hAnsi="Arial" w:cs="Courier New"/>
      <w:b/>
      <w:sz w:val="24"/>
    </w:rPr>
  </w:style>
  <w:style w:type="character" w:customStyle="1" w:styleId="ListLabel7">
    <w:name w:val="ListLabel 7"/>
    <w:qFormat/>
    <w:rPr>
      <w:rFonts w:ascii="Arial" w:hAnsi="Arial" w:cs="Wingdings"/>
      <w:color w:val="000000"/>
      <w:sz w:val="24"/>
      <w:szCs w:val="18"/>
      <w:highlight w:val="yellow"/>
      <w:lang w:val="en-U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  <w:color w:val="000000"/>
      <w:sz w:val="18"/>
      <w:szCs w:val="18"/>
      <w:highlight w:val="yellow"/>
      <w:lang w:val="en-U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  <w:color w:val="000000"/>
      <w:sz w:val="18"/>
      <w:szCs w:val="18"/>
      <w:highlight w:val="yellow"/>
      <w:lang w:val="en-US"/>
    </w:rPr>
  </w:style>
  <w:style w:type="character" w:customStyle="1" w:styleId="ListLabel14">
    <w:name w:val="ListLabel 14"/>
    <w:qFormat/>
    <w:rPr>
      <w:rFonts w:ascii="Arial" w:hAnsi="Arial" w:cs="Arial"/>
      <w:sz w:val="24"/>
    </w:rPr>
  </w:style>
  <w:style w:type="character" w:customStyle="1" w:styleId="ListLabel15">
    <w:name w:val="ListLabel 15"/>
    <w:qFormat/>
    <w:rPr>
      <w:rFonts w:ascii="Arial" w:hAnsi="Arial" w:cs="Arial"/>
      <w:sz w:val="24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ascii="Arial" w:hAnsi="Arial" w:cs="Courier New"/>
      <w:sz w:val="24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ascii="Arial" w:hAnsi="Arial" w:cs="Arial"/>
      <w:sz w:val="24"/>
    </w:rPr>
  </w:style>
  <w:style w:type="character" w:customStyle="1" w:styleId="ListLabel27">
    <w:name w:val="ListLabel 27"/>
    <w:qFormat/>
    <w:rPr>
      <w:rFonts w:ascii="Arial" w:hAnsi="Arial" w:cs="Arial"/>
      <w:sz w:val="24"/>
    </w:rPr>
  </w:style>
  <w:style w:type="character" w:customStyle="1" w:styleId="ListLabel28">
    <w:name w:val="ListLabel 28"/>
    <w:qFormat/>
    <w:rPr>
      <w:rFonts w:ascii="Arial" w:hAnsi="Arial" w:cs="Arial"/>
      <w:sz w:val="24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ascii="Arial" w:hAnsi="Arial" w:cs="Courier New"/>
      <w:sz w:val="24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Arial" w:hAnsi="Arial" w:cs="Arial"/>
      <w:sz w:val="24"/>
    </w:rPr>
  </w:style>
  <w:style w:type="character" w:customStyle="1" w:styleId="ListLabel39">
    <w:name w:val="ListLabel 39"/>
    <w:qFormat/>
    <w:rPr>
      <w:rFonts w:ascii="Arial" w:hAnsi="Arial" w:cs="Arial"/>
      <w:sz w:val="24"/>
    </w:rPr>
  </w:style>
  <w:style w:type="character" w:customStyle="1" w:styleId="ListLabel40">
    <w:name w:val="ListLabel 40"/>
    <w:qFormat/>
    <w:rPr>
      <w:rFonts w:ascii="Arial" w:hAnsi="Arial" w:cs="Arial"/>
      <w:sz w:val="24"/>
    </w:rPr>
  </w:style>
  <w:style w:type="character" w:customStyle="1" w:styleId="ListLabel41">
    <w:name w:val="ListLabel 41"/>
    <w:qFormat/>
    <w:rPr>
      <w:rFonts w:ascii="Arial" w:hAnsi="Arial" w:cs="Arial"/>
      <w:sz w:val="24"/>
    </w:rPr>
  </w:style>
  <w:style w:type="character" w:customStyle="1" w:styleId="ListLabel42">
    <w:name w:val="ListLabel 42"/>
    <w:qFormat/>
    <w:rPr>
      <w:rFonts w:ascii="Arial" w:hAnsi="Arial" w:cs="Arial"/>
      <w:sz w:val="24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ascii="Arial" w:hAnsi="Arial" w:cs="Courier New"/>
      <w:b/>
      <w:sz w:val="24"/>
    </w:rPr>
  </w:style>
  <w:style w:type="character" w:customStyle="1" w:styleId="ListLabel45">
    <w:name w:val="ListLabel 45"/>
    <w:qFormat/>
    <w:rPr>
      <w:rFonts w:ascii="Arial" w:hAnsi="Arial" w:cs="Wingdings"/>
      <w:color w:val="000000"/>
      <w:sz w:val="24"/>
      <w:szCs w:val="18"/>
      <w:highlight w:val="yellow"/>
      <w:lang w:val="en-U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  <w:color w:val="000000"/>
      <w:sz w:val="18"/>
      <w:szCs w:val="18"/>
      <w:highlight w:val="yellow"/>
      <w:lang w:val="en-U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  <w:color w:val="000000"/>
      <w:sz w:val="18"/>
      <w:szCs w:val="18"/>
      <w:highlight w:val="yellow"/>
      <w:lang w:val="en-US"/>
    </w:rPr>
  </w:style>
  <w:style w:type="character" w:customStyle="1" w:styleId="ListLabel52">
    <w:name w:val="ListLabel 52"/>
    <w:qFormat/>
    <w:rPr>
      <w:rFonts w:ascii="Arial" w:hAnsi="Arial" w:cs="Arial"/>
      <w:sz w:val="24"/>
    </w:rPr>
  </w:style>
  <w:style w:type="character" w:customStyle="1" w:styleId="ListLabel53">
    <w:name w:val="ListLabel 53"/>
    <w:qFormat/>
    <w:rPr>
      <w:rFonts w:ascii="Arial" w:hAnsi="Arial" w:cs="Aria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ascii="Arial" w:hAnsi="Arial" w:cs="Courier New"/>
      <w:sz w:val="24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hAnsi="Arial" w:cs="Arial"/>
      <w:sz w:val="24"/>
    </w:rPr>
  </w:style>
  <w:style w:type="character" w:customStyle="1" w:styleId="ListLabel64">
    <w:name w:val="ListLabel 64"/>
    <w:qFormat/>
    <w:rPr>
      <w:rFonts w:ascii="Arial" w:hAnsi="Arial" w:cs="Arial"/>
      <w:sz w:val="24"/>
    </w:rPr>
  </w:style>
  <w:style w:type="character" w:customStyle="1" w:styleId="ListLabel65">
    <w:name w:val="ListLabel 65"/>
    <w:qFormat/>
    <w:rPr>
      <w:rFonts w:ascii="Arial" w:hAnsi="Arial" w:cs="Arial"/>
      <w:sz w:val="24"/>
    </w:rPr>
  </w:style>
  <w:style w:type="character" w:customStyle="1" w:styleId="ListLabel66">
    <w:name w:val="ListLabel 66"/>
    <w:qFormat/>
    <w:rPr>
      <w:rFonts w:ascii="Arial" w:hAnsi="Arial" w:cs="Arial"/>
      <w:sz w:val="24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ascii="Arial" w:hAnsi="Arial" w:cs="Courier New"/>
      <w:sz w:val="24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rial" w:hAnsi="Arial" w:cs="Arial"/>
      <w:sz w:val="24"/>
    </w:rPr>
  </w:style>
  <w:style w:type="character" w:customStyle="1" w:styleId="WW8Num3z0">
    <w:name w:val="WW8Num3z0"/>
    <w:qFormat/>
    <w:rPr>
      <w:rFonts w:ascii="Arial" w:eastAsia="Tunga" w:hAnsi="Arial" w:cs="Arial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69z0">
    <w:name w:val="WW8Num69z0"/>
    <w:qFormat/>
    <w:rPr>
      <w:rFonts w:cs="Times New Roman"/>
    </w:rPr>
  </w:style>
  <w:style w:type="character" w:customStyle="1" w:styleId="WW8Num23z0">
    <w:name w:val="WW8Num23z0"/>
    <w:qFormat/>
    <w:rPr>
      <w:rFonts w:ascii="Arial" w:eastAsia="Tunga" w:hAnsi="Arial" w:cs="Arial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65z0">
    <w:name w:val="WW8Num65z0"/>
    <w:qFormat/>
    <w:rPr>
      <w:rFonts w:cs="Times New Roman"/>
    </w:rPr>
  </w:style>
  <w:style w:type="character" w:customStyle="1" w:styleId="WW8Num56z0">
    <w:name w:val="WW8Num56z0"/>
    <w:qFormat/>
    <w:rPr>
      <w:rFonts w:ascii="Arial" w:eastAsia="Tunga" w:hAnsi="Arial" w:cs="Arial"/>
    </w:rPr>
  </w:style>
  <w:style w:type="character" w:customStyle="1" w:styleId="WW8Num56z1">
    <w:name w:val="WW8Num56z1"/>
    <w:qFormat/>
    <w:rPr>
      <w:rFonts w:cs="Times New Roman"/>
    </w:rPr>
  </w:style>
  <w:style w:type="character" w:customStyle="1" w:styleId="WW8Num59z0">
    <w:name w:val="WW8Num59z0"/>
    <w:qFormat/>
    <w:rPr>
      <w:rFonts w:cs="Times New Roman"/>
    </w:rPr>
  </w:style>
  <w:style w:type="character" w:customStyle="1" w:styleId="WW8Num30z0">
    <w:name w:val="WW8Num30z0"/>
    <w:qFormat/>
    <w:rPr>
      <w:rFonts w:ascii="Arial" w:eastAsia="Tunga" w:hAnsi="Arial" w:cs="Arial"/>
    </w:rPr>
  </w:style>
  <w:style w:type="character" w:customStyle="1" w:styleId="WW8Num30z1">
    <w:name w:val="WW8Num30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43z0">
    <w:name w:val="WW8Num43z0"/>
    <w:qFormat/>
    <w:rPr>
      <w:rFonts w:cs="Times New Roman"/>
    </w:rPr>
  </w:style>
  <w:style w:type="character" w:customStyle="1" w:styleId="WW8Num60z0">
    <w:name w:val="WW8Num60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Znakinumeracji">
    <w:name w:val="Znaki numeracji"/>
    <w:qFormat/>
  </w:style>
  <w:style w:type="character" w:customStyle="1" w:styleId="ListLabel77">
    <w:name w:val="ListLabel 77"/>
    <w:qFormat/>
    <w:rPr>
      <w:rFonts w:ascii="Arial" w:hAnsi="Arial" w:cs="Arial"/>
      <w:sz w:val="24"/>
    </w:rPr>
  </w:style>
  <w:style w:type="character" w:customStyle="1" w:styleId="ListLabel78">
    <w:name w:val="ListLabel 78"/>
    <w:qFormat/>
    <w:rPr>
      <w:rFonts w:ascii="Arial" w:hAnsi="Arial" w:cs="Arial"/>
      <w:sz w:val="24"/>
    </w:rPr>
  </w:style>
  <w:style w:type="character" w:customStyle="1" w:styleId="ListLabel79">
    <w:name w:val="ListLabel 79"/>
    <w:qFormat/>
    <w:rPr>
      <w:rFonts w:ascii="Arial" w:hAnsi="Arial" w:cs="Arial"/>
      <w:sz w:val="24"/>
    </w:rPr>
  </w:style>
  <w:style w:type="character" w:customStyle="1" w:styleId="ListLabel80">
    <w:name w:val="ListLabel 80"/>
    <w:qFormat/>
    <w:rPr>
      <w:rFonts w:ascii="Arial" w:hAnsi="Arial" w:cs="Arial"/>
      <w:sz w:val="24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ascii="Arial" w:hAnsi="Arial" w:cs="Courier New"/>
      <w:b/>
      <w:sz w:val="24"/>
    </w:rPr>
  </w:style>
  <w:style w:type="character" w:customStyle="1" w:styleId="ListLabel83">
    <w:name w:val="ListLabel 83"/>
    <w:qFormat/>
    <w:rPr>
      <w:rFonts w:ascii="Arial" w:hAnsi="Arial" w:cs="Wingdings"/>
      <w:color w:val="000000"/>
      <w:sz w:val="24"/>
      <w:szCs w:val="18"/>
      <w:highlight w:val="yellow"/>
      <w:lang w:val="en-U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color w:val="000000"/>
      <w:sz w:val="18"/>
      <w:szCs w:val="18"/>
      <w:highlight w:val="yellow"/>
      <w:lang w:val="en-U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color w:val="000000"/>
      <w:sz w:val="18"/>
      <w:szCs w:val="18"/>
      <w:highlight w:val="yellow"/>
      <w:lang w:val="en-US"/>
    </w:rPr>
  </w:style>
  <w:style w:type="character" w:customStyle="1" w:styleId="ListLabel90">
    <w:name w:val="ListLabel 90"/>
    <w:qFormat/>
    <w:rPr>
      <w:rFonts w:ascii="Arial" w:hAnsi="Arial" w:cs="Arial"/>
      <w:sz w:val="24"/>
    </w:rPr>
  </w:style>
  <w:style w:type="character" w:customStyle="1" w:styleId="ListLabel91">
    <w:name w:val="ListLabel 91"/>
    <w:qFormat/>
    <w:rPr>
      <w:rFonts w:ascii="Arial" w:hAnsi="Arial" w:cs="Arial"/>
      <w:sz w:val="24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ascii="Arial" w:hAnsi="Arial" w:cs="Courier New"/>
      <w:sz w:val="24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Arial" w:hAnsi="Arial" w:cs="Arial"/>
      <w:sz w:val="24"/>
    </w:rPr>
  </w:style>
  <w:style w:type="character" w:customStyle="1" w:styleId="ListLabel102">
    <w:name w:val="ListLabel 102"/>
    <w:qFormat/>
    <w:rPr>
      <w:rFonts w:ascii="Arial" w:hAnsi="Arial" w:cs="Arial"/>
      <w:sz w:val="24"/>
    </w:rPr>
  </w:style>
  <w:style w:type="character" w:customStyle="1" w:styleId="ListLabel103">
    <w:name w:val="ListLabel 103"/>
    <w:qFormat/>
    <w:rPr>
      <w:rFonts w:ascii="Arial" w:hAnsi="Arial" w:cs="Arial"/>
      <w:sz w:val="24"/>
    </w:rPr>
  </w:style>
  <w:style w:type="character" w:customStyle="1" w:styleId="ListLabel104">
    <w:name w:val="ListLabel 104"/>
    <w:qFormat/>
    <w:rPr>
      <w:rFonts w:ascii="Arial" w:hAnsi="Arial" w:cs="Arial"/>
      <w:sz w:val="24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ascii="Arial" w:hAnsi="Arial" w:cs="Courier New"/>
      <w:sz w:val="24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Arial"/>
      <w:sz w:val="24"/>
    </w:rPr>
  </w:style>
  <w:style w:type="character" w:customStyle="1" w:styleId="ListLabel115">
    <w:name w:val="ListLabel 115"/>
    <w:qFormat/>
    <w:rPr>
      <w:rFonts w:cs="Arial"/>
      <w:sz w:val="24"/>
    </w:rPr>
  </w:style>
  <w:style w:type="character" w:customStyle="1" w:styleId="ListLabel116">
    <w:name w:val="ListLabel 116"/>
    <w:qFormat/>
    <w:rPr>
      <w:rFonts w:cs="Arial"/>
      <w:sz w:val="24"/>
    </w:rPr>
  </w:style>
  <w:style w:type="character" w:customStyle="1" w:styleId="ListLabel117">
    <w:name w:val="ListLabel 117"/>
    <w:qFormat/>
    <w:rPr>
      <w:rFonts w:cs="Arial"/>
      <w:sz w:val="24"/>
    </w:rPr>
  </w:style>
  <w:style w:type="character" w:customStyle="1" w:styleId="ListLabel118">
    <w:name w:val="ListLabel 118"/>
    <w:qFormat/>
    <w:rPr>
      <w:rFonts w:cs="Arial"/>
      <w:sz w:val="24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  <w:b/>
      <w:sz w:val="24"/>
    </w:rPr>
  </w:style>
  <w:style w:type="character" w:customStyle="1" w:styleId="ListLabel121">
    <w:name w:val="ListLabel 121"/>
    <w:qFormat/>
    <w:rPr>
      <w:rFonts w:cs="Wingdings"/>
      <w:color w:val="000000"/>
      <w:sz w:val="24"/>
      <w:szCs w:val="18"/>
      <w:highlight w:val="yellow"/>
      <w:lang w:val="en-U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  <w:color w:val="000000"/>
      <w:sz w:val="18"/>
      <w:szCs w:val="18"/>
      <w:highlight w:val="yellow"/>
      <w:lang w:val="en-U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  <w:color w:val="000000"/>
      <w:sz w:val="18"/>
      <w:szCs w:val="18"/>
      <w:highlight w:val="yellow"/>
      <w:lang w:val="en-US"/>
    </w:rPr>
  </w:style>
  <w:style w:type="character" w:customStyle="1" w:styleId="ListLabel128">
    <w:name w:val="ListLabel 128"/>
    <w:qFormat/>
    <w:rPr>
      <w:rFonts w:cs="Arial"/>
      <w:sz w:val="24"/>
    </w:rPr>
  </w:style>
  <w:style w:type="character" w:customStyle="1" w:styleId="ListLabel129">
    <w:name w:val="ListLabel 129"/>
    <w:qFormat/>
    <w:rPr>
      <w:rFonts w:cs="Arial"/>
      <w:sz w:val="24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  <w:sz w:val="24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Arial"/>
      <w:sz w:val="24"/>
    </w:rPr>
  </w:style>
  <w:style w:type="character" w:customStyle="1" w:styleId="ListLabel140">
    <w:name w:val="ListLabel 140"/>
    <w:qFormat/>
    <w:rPr>
      <w:rFonts w:cs="Arial"/>
      <w:sz w:val="24"/>
    </w:rPr>
  </w:style>
  <w:style w:type="character" w:customStyle="1" w:styleId="ListLabel141">
    <w:name w:val="ListLabel 141"/>
    <w:qFormat/>
    <w:rPr>
      <w:rFonts w:cs="Arial"/>
      <w:sz w:val="24"/>
    </w:rPr>
  </w:style>
  <w:style w:type="character" w:customStyle="1" w:styleId="ListLabel142">
    <w:name w:val="ListLabel 142"/>
    <w:qFormat/>
    <w:rPr>
      <w:rFonts w:cs="Arial"/>
      <w:sz w:val="24"/>
    </w:rPr>
  </w:style>
  <w:style w:type="character" w:customStyle="1" w:styleId="ListLabel143">
    <w:name w:val="ListLabel 143"/>
    <w:qFormat/>
    <w:rPr>
      <w:rFonts w:ascii="Arial" w:hAnsi="Arial" w:cs="Arial"/>
      <w:sz w:val="24"/>
    </w:rPr>
  </w:style>
  <w:style w:type="character" w:customStyle="1" w:styleId="ListLabel144">
    <w:name w:val="ListLabel 144"/>
    <w:qFormat/>
    <w:rPr>
      <w:rFonts w:ascii="Arial" w:hAnsi="Arial" w:cs="Arial"/>
      <w:sz w:val="24"/>
    </w:rPr>
  </w:style>
  <w:style w:type="character" w:customStyle="1" w:styleId="ListLabel145">
    <w:name w:val="ListLabel 145"/>
    <w:qFormat/>
    <w:rPr>
      <w:rFonts w:ascii="Arial" w:hAnsi="Arial" w:cs="Arial"/>
      <w:sz w:val="24"/>
    </w:rPr>
  </w:style>
  <w:style w:type="character" w:customStyle="1" w:styleId="ListLabel146">
    <w:name w:val="ListLabel 146"/>
    <w:qFormat/>
    <w:rPr>
      <w:rFonts w:ascii="Arial" w:hAnsi="Arial" w:cs="Arial"/>
      <w:sz w:val="24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  <w:b w:val="0"/>
      <w:sz w:val="24"/>
    </w:rPr>
  </w:style>
  <w:style w:type="character" w:customStyle="1" w:styleId="ListLabel149">
    <w:name w:val="ListLabel 149"/>
    <w:qFormat/>
    <w:rPr>
      <w:rFonts w:cs="Wingdings"/>
      <w:color w:val="000000"/>
      <w:sz w:val="24"/>
      <w:szCs w:val="18"/>
      <w:highlight w:val="yellow"/>
      <w:lang w:val="en-U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color w:val="000000"/>
      <w:sz w:val="18"/>
      <w:szCs w:val="18"/>
      <w:highlight w:val="yellow"/>
      <w:lang w:val="en-U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color w:val="000000"/>
      <w:sz w:val="18"/>
      <w:szCs w:val="18"/>
      <w:highlight w:val="yellow"/>
      <w:lang w:val="en-US"/>
    </w:rPr>
  </w:style>
  <w:style w:type="character" w:customStyle="1" w:styleId="ListLabel156">
    <w:name w:val="ListLabel 156"/>
    <w:qFormat/>
    <w:rPr>
      <w:rFonts w:ascii="Arial" w:hAnsi="Arial" w:cs="Arial"/>
      <w:sz w:val="20"/>
    </w:rPr>
  </w:style>
  <w:style w:type="character" w:customStyle="1" w:styleId="ListLabel157">
    <w:name w:val="ListLabel 157"/>
    <w:qFormat/>
    <w:rPr>
      <w:rFonts w:ascii="Arial" w:hAnsi="Arial" w:cs="Arial"/>
      <w:sz w:val="24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ascii="Arial" w:hAnsi="Arial" w:cs="Courier New"/>
      <w:sz w:val="24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Arial" w:hAnsi="Arial" w:cs="Arial"/>
      <w:sz w:val="24"/>
    </w:rPr>
  </w:style>
  <w:style w:type="character" w:customStyle="1" w:styleId="ListLabel168">
    <w:name w:val="ListLabel 168"/>
    <w:qFormat/>
    <w:rPr>
      <w:rFonts w:ascii="Arial" w:hAnsi="Arial" w:cs="Arial"/>
      <w:sz w:val="24"/>
    </w:rPr>
  </w:style>
  <w:style w:type="character" w:customStyle="1" w:styleId="ListLabel169">
    <w:name w:val="ListLabel 169"/>
    <w:qFormat/>
    <w:rPr>
      <w:rFonts w:ascii="Arial" w:hAnsi="Arial" w:cs="Arial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Arial" w:hAnsi="Arial"/>
      <w:color w:val="000000"/>
      <w:sz w:val="24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24">
    <w:name w:val="WW8Num24"/>
    <w:qFormat/>
  </w:style>
  <w:style w:type="numbering" w:customStyle="1" w:styleId="WW8Num55">
    <w:name w:val="WW8Num55"/>
    <w:qFormat/>
  </w:style>
  <w:style w:type="numbering" w:customStyle="1" w:styleId="WW8Num52">
    <w:name w:val="WW8Num52"/>
    <w:qFormat/>
  </w:style>
  <w:style w:type="numbering" w:customStyle="1" w:styleId="WW8Num34">
    <w:name w:val="WW8Num34"/>
    <w:qFormat/>
  </w:style>
  <w:style w:type="numbering" w:customStyle="1" w:styleId="WW8Num19">
    <w:name w:val="WW8Num19"/>
    <w:qFormat/>
  </w:style>
  <w:style w:type="numbering" w:customStyle="1" w:styleId="WW8Num46">
    <w:name w:val="WW8Num46"/>
    <w:qFormat/>
  </w:style>
  <w:style w:type="numbering" w:customStyle="1" w:styleId="WW8Num66">
    <w:name w:val="WW8Num66"/>
    <w:qFormat/>
  </w:style>
  <w:style w:type="numbering" w:customStyle="1" w:styleId="WW8Num61">
    <w:name w:val="WW8Num61"/>
    <w:qFormat/>
  </w:style>
  <w:style w:type="numbering" w:customStyle="1" w:styleId="WW8Num20">
    <w:name w:val="WW8Num20"/>
    <w:qFormat/>
  </w:style>
  <w:style w:type="numbering" w:customStyle="1" w:styleId="WW8Num42">
    <w:name w:val="WW8Num42"/>
    <w:qFormat/>
  </w:style>
  <w:style w:type="numbering" w:customStyle="1" w:styleId="WW8Num38">
    <w:name w:val="WW8Num38"/>
    <w:qFormat/>
  </w:style>
  <w:style w:type="numbering" w:customStyle="1" w:styleId="WW8Num64">
    <w:name w:val="WW8Num64"/>
    <w:qFormat/>
  </w:style>
  <w:style w:type="numbering" w:customStyle="1" w:styleId="WW8Num4">
    <w:name w:val="WW8Num4"/>
    <w:qFormat/>
  </w:style>
  <w:style w:type="numbering" w:customStyle="1" w:styleId="WW8Num32">
    <w:name w:val="WW8Num32"/>
    <w:qFormat/>
  </w:style>
  <w:style w:type="numbering" w:customStyle="1" w:styleId="WW8Num3">
    <w:name w:val="WW8Num3"/>
    <w:qFormat/>
  </w:style>
  <w:style w:type="numbering" w:customStyle="1" w:styleId="WW8Num69">
    <w:name w:val="WW8Num69"/>
    <w:qFormat/>
  </w:style>
  <w:style w:type="numbering" w:customStyle="1" w:styleId="WW8Num23">
    <w:name w:val="WW8Num23"/>
    <w:qFormat/>
  </w:style>
  <w:style w:type="numbering" w:customStyle="1" w:styleId="WW8Num65">
    <w:name w:val="WW8Num65"/>
    <w:qFormat/>
  </w:style>
  <w:style w:type="numbering" w:customStyle="1" w:styleId="WW8Num56">
    <w:name w:val="WW8Num56"/>
    <w:qFormat/>
  </w:style>
  <w:style w:type="numbering" w:customStyle="1" w:styleId="WW8Num59">
    <w:name w:val="WW8Num59"/>
    <w:qFormat/>
  </w:style>
  <w:style w:type="numbering" w:customStyle="1" w:styleId="WW8Num30">
    <w:name w:val="WW8Num30"/>
    <w:qFormat/>
  </w:style>
  <w:style w:type="numbering" w:customStyle="1" w:styleId="WW8Num13">
    <w:name w:val="WW8Num13"/>
    <w:qFormat/>
  </w:style>
  <w:style w:type="numbering" w:customStyle="1" w:styleId="WW8Num43">
    <w:name w:val="WW8Num43"/>
    <w:qFormat/>
  </w:style>
  <w:style w:type="numbering" w:customStyle="1" w:styleId="WW8Num60">
    <w:name w:val="WW8Num60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ware.com/resources/compatibi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4175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</vt:lpstr>
    </vt:vector>
  </TitlesOfParts>
  <Company>HP</Company>
  <LinksUpToDate>false</LinksUpToDate>
  <CharactersWithSpaces>29171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</dc:title>
  <dc:creator>matosek</dc:creator>
  <cp:lastModifiedBy>HP</cp:lastModifiedBy>
  <cp:revision>4</cp:revision>
  <dcterms:created xsi:type="dcterms:W3CDTF">2019-12-18T13:25:00Z</dcterms:created>
  <dcterms:modified xsi:type="dcterms:W3CDTF">2020-01-07T10:08:00Z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